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BF7" w14:textId="77777777" w:rsidR="00B06F4B" w:rsidRDefault="00B06F4B" w:rsidP="00B06F4B">
      <w:pPr>
        <w:tabs>
          <w:tab w:val="left" w:pos="6480"/>
        </w:tabs>
        <w:suppressAutoHyphens/>
        <w:spacing w:after="0" w:line="240" w:lineRule="auto"/>
        <w:ind w:right="-29"/>
        <w:rPr>
          <w:rFonts w:ascii="Times New Roman" w:eastAsia="Times New Roman" w:hAnsi="Times New Roman"/>
          <w:bCs/>
          <w:caps/>
          <w:lang w:val="es-ES"/>
        </w:rPr>
      </w:pPr>
      <w:r>
        <w:rPr>
          <w:rFonts w:ascii="Times New Roman" w:eastAsia="Times New Roman" w:hAnsi="Times New Roman"/>
          <w:bCs/>
          <w:caps/>
          <w:lang w:val="es-ES"/>
        </w:rPr>
        <w:t xml:space="preserve">CONVENCIÓN INTERAMERICANA SOBRE </w:t>
      </w:r>
      <w:r>
        <w:rPr>
          <w:rFonts w:ascii="Times New Roman" w:eastAsia="Times New Roman" w:hAnsi="Times New Roman"/>
          <w:bCs/>
          <w:caps/>
          <w:lang w:val="es-ES"/>
        </w:rPr>
        <w:tab/>
      </w:r>
      <w:r>
        <w:rPr>
          <w:rFonts w:ascii="Times New Roman" w:eastAsia="Times New Roman" w:hAnsi="Times New Roman"/>
          <w:lang w:val="es-ES"/>
        </w:rPr>
        <w:t>OEA/</w:t>
      </w:r>
      <w:proofErr w:type="spellStart"/>
      <w:r>
        <w:rPr>
          <w:rFonts w:ascii="Times New Roman" w:eastAsia="Times New Roman" w:hAnsi="Times New Roman"/>
          <w:lang w:val="es-ES"/>
        </w:rPr>
        <w:t>Ser.K</w:t>
      </w:r>
      <w:proofErr w:type="spellEnd"/>
      <w:r>
        <w:rPr>
          <w:rFonts w:ascii="Times New Roman" w:eastAsia="Times New Roman" w:hAnsi="Times New Roman"/>
          <w:lang w:val="es-ES"/>
        </w:rPr>
        <w:t>/XLIV.2</w:t>
      </w:r>
    </w:p>
    <w:p w14:paraId="52C1839E" w14:textId="77777777" w:rsidR="00B06F4B" w:rsidRDefault="00B06F4B" w:rsidP="00B06F4B">
      <w:pPr>
        <w:tabs>
          <w:tab w:val="left" w:pos="6480"/>
        </w:tabs>
        <w:suppressAutoHyphens/>
        <w:spacing w:after="0" w:line="240" w:lineRule="auto"/>
        <w:ind w:right="-299"/>
        <w:rPr>
          <w:rFonts w:ascii="Times New Roman" w:eastAsia="Times New Roman" w:hAnsi="Times New Roman"/>
          <w:bCs/>
          <w:caps/>
          <w:lang w:val="es-ES"/>
        </w:rPr>
      </w:pPr>
      <w:r>
        <w:rPr>
          <w:rFonts w:ascii="Times New Roman" w:eastAsia="Times New Roman" w:hAnsi="Times New Roman"/>
          <w:bCs/>
          <w:caps/>
          <w:lang w:val="es-ES"/>
        </w:rPr>
        <w:t xml:space="preserve">TRANSPARENCIA EN LAS ADQUISICIONES </w:t>
      </w:r>
      <w:r>
        <w:rPr>
          <w:rFonts w:ascii="Times New Roman" w:eastAsia="Times New Roman" w:hAnsi="Times New Roman"/>
          <w:bCs/>
          <w:caps/>
          <w:lang w:val="es-ES"/>
        </w:rPr>
        <w:tab/>
        <w:t>C</w:t>
      </w:r>
      <w:r>
        <w:rPr>
          <w:rFonts w:ascii="Times New Roman" w:eastAsia="Times New Roman" w:hAnsi="Times New Roman"/>
          <w:lang w:val="es-ES"/>
        </w:rPr>
        <w:t>ITAAC/CEP-II/INF.1/22</w:t>
      </w:r>
    </w:p>
    <w:p w14:paraId="64E329C6" w14:textId="77777777" w:rsidR="00B06F4B" w:rsidRDefault="00B06F4B" w:rsidP="00B06F4B">
      <w:pPr>
        <w:tabs>
          <w:tab w:val="left" w:pos="6480"/>
        </w:tabs>
        <w:suppressAutoHyphens/>
        <w:spacing w:after="0" w:line="240" w:lineRule="auto"/>
        <w:ind w:right="-29"/>
        <w:rPr>
          <w:rFonts w:ascii="Times New Roman" w:eastAsia="Times New Roman" w:hAnsi="Times New Roman"/>
          <w:bCs/>
          <w:caps/>
          <w:lang w:val="es-ES"/>
        </w:rPr>
      </w:pPr>
      <w:r>
        <w:rPr>
          <w:rFonts w:ascii="Times New Roman" w:eastAsia="Times New Roman" w:hAnsi="Times New Roman"/>
          <w:bCs/>
          <w:caps/>
          <w:lang w:val="es-ES"/>
        </w:rPr>
        <w:t>DE ARMAS CONVENCIONALES (CITAAC)</w:t>
      </w:r>
      <w:r>
        <w:rPr>
          <w:rFonts w:ascii="Times New Roman" w:eastAsia="Times New Roman" w:hAnsi="Times New Roman"/>
          <w:bCs/>
          <w:caps/>
          <w:lang w:val="es-ES"/>
        </w:rPr>
        <w:tab/>
        <w:t xml:space="preserve">25 </w:t>
      </w:r>
      <w:r>
        <w:rPr>
          <w:rFonts w:ascii="Times New Roman" w:eastAsia="Times New Roman" w:hAnsi="Times New Roman"/>
          <w:lang w:val="es-ES"/>
        </w:rPr>
        <w:t xml:space="preserve">marzo </w:t>
      </w:r>
      <w:r>
        <w:rPr>
          <w:rFonts w:ascii="Times New Roman" w:eastAsia="Times New Roman" w:hAnsi="Times New Roman"/>
          <w:bCs/>
          <w:caps/>
          <w:lang w:val="es-ES"/>
        </w:rPr>
        <w:t>2022</w:t>
      </w:r>
    </w:p>
    <w:p w14:paraId="79C687EA" w14:textId="77777777" w:rsidR="00B06F4B" w:rsidRDefault="00B06F4B" w:rsidP="00B06F4B">
      <w:pPr>
        <w:tabs>
          <w:tab w:val="left" w:pos="6480"/>
        </w:tabs>
        <w:spacing w:after="0" w:line="240" w:lineRule="auto"/>
        <w:rPr>
          <w:rFonts w:ascii="Times New Roman" w:eastAsia="Times New Roman" w:hAnsi="Times New Roman"/>
          <w:u w:val="single"/>
          <w:lang w:val="es-ES"/>
        </w:rPr>
      </w:pPr>
      <w:r>
        <w:rPr>
          <w:rFonts w:ascii="Times New Roman" w:eastAsia="Times New Roman" w:hAnsi="Times New Roman"/>
          <w:u w:val="single"/>
          <w:lang w:val="es-ES"/>
        </w:rPr>
        <w:t xml:space="preserve">Segunda Conferencia de los </w:t>
      </w:r>
      <w:proofErr w:type="gramStart"/>
      <w:r>
        <w:rPr>
          <w:rFonts w:ascii="Times New Roman" w:eastAsia="Times New Roman" w:hAnsi="Times New Roman"/>
          <w:u w:val="single"/>
          <w:lang w:val="es-ES"/>
        </w:rPr>
        <w:t>Estados Partes</w:t>
      </w:r>
      <w:proofErr w:type="gramEnd"/>
      <w:r>
        <w:rPr>
          <w:rFonts w:ascii="Times New Roman" w:eastAsia="Times New Roman" w:hAnsi="Times New Roman"/>
          <w:lang w:val="es-ES"/>
        </w:rPr>
        <w:tab/>
        <w:t>Original: inglés</w:t>
      </w:r>
    </w:p>
    <w:p w14:paraId="505906EE" w14:textId="77777777" w:rsidR="00B06F4B" w:rsidRDefault="00B06F4B" w:rsidP="00B06F4B">
      <w:pPr>
        <w:tabs>
          <w:tab w:val="left" w:pos="6545"/>
        </w:tabs>
        <w:spacing w:after="0" w:line="240" w:lineRule="auto"/>
        <w:rPr>
          <w:rFonts w:ascii="Times New Roman" w:eastAsia="Times New Roman" w:hAnsi="Times New Roman"/>
          <w:lang w:val="es-ES"/>
        </w:rPr>
      </w:pPr>
      <w:r>
        <w:rPr>
          <w:rFonts w:ascii="Times New Roman" w:eastAsia="Times New Roman" w:hAnsi="Times New Roman"/>
          <w:lang w:val="es-ES"/>
        </w:rPr>
        <w:t>19 de abril de 2022</w:t>
      </w:r>
    </w:p>
    <w:p w14:paraId="026BBA19" w14:textId="77777777" w:rsidR="00B06F4B" w:rsidRDefault="00B06F4B" w:rsidP="00B06F4B">
      <w:pPr>
        <w:tabs>
          <w:tab w:val="left" w:pos="6545"/>
        </w:tabs>
        <w:spacing w:after="0" w:line="240" w:lineRule="auto"/>
        <w:rPr>
          <w:rFonts w:ascii="Times New Roman" w:eastAsia="Times New Roman" w:hAnsi="Times New Roman"/>
          <w:lang w:val="es-ES"/>
        </w:rPr>
      </w:pPr>
      <w:r>
        <w:rPr>
          <w:rFonts w:ascii="Times New Roman" w:eastAsia="Times New Roman" w:hAnsi="Times New Roman"/>
          <w:lang w:val="es-ES"/>
        </w:rPr>
        <w:t>Formato virtual</w:t>
      </w:r>
    </w:p>
    <w:p w14:paraId="79CEF831" w14:textId="77777777" w:rsidR="00B06F4B" w:rsidRDefault="00B06F4B" w:rsidP="00B06F4B">
      <w:pPr>
        <w:spacing w:after="0" w:line="252" w:lineRule="auto"/>
        <w:rPr>
          <w:rFonts w:ascii="Times New Roman" w:eastAsia="Calibri" w:hAnsi="Times New Roman"/>
          <w:lang w:val="es-ES"/>
        </w:rPr>
      </w:pPr>
    </w:p>
    <w:p w14:paraId="141468F7" w14:textId="77777777" w:rsidR="00B06F4B" w:rsidRDefault="00B06F4B" w:rsidP="00B06F4B">
      <w:pPr>
        <w:spacing w:after="0" w:line="252" w:lineRule="auto"/>
        <w:rPr>
          <w:rFonts w:ascii="Times New Roman" w:eastAsia="Calibri" w:hAnsi="Times New Roman"/>
          <w:lang w:val="es-ES"/>
        </w:rPr>
      </w:pPr>
    </w:p>
    <w:p w14:paraId="6E0B8B31" w14:textId="77777777" w:rsidR="00B06F4B" w:rsidRDefault="00B06F4B" w:rsidP="00B06F4B">
      <w:pPr>
        <w:spacing w:after="0" w:line="252" w:lineRule="auto"/>
        <w:rPr>
          <w:rFonts w:ascii="Times New Roman" w:eastAsia="Calibri" w:hAnsi="Times New Roman"/>
          <w:lang w:val="es-ES"/>
        </w:rPr>
      </w:pPr>
    </w:p>
    <w:p w14:paraId="4BE7D13C" w14:textId="77777777" w:rsidR="00B06F4B" w:rsidRDefault="00B06F4B" w:rsidP="00B06F4B">
      <w:pPr>
        <w:spacing w:after="0" w:line="252" w:lineRule="auto"/>
        <w:rPr>
          <w:rFonts w:ascii="Times New Roman" w:eastAsia="Calibri" w:hAnsi="Times New Roman"/>
          <w:lang w:val="es-ES"/>
        </w:rPr>
      </w:pPr>
    </w:p>
    <w:p w14:paraId="1752BD25" w14:textId="77777777" w:rsidR="00B06F4B" w:rsidRDefault="00B06F4B" w:rsidP="00B06F4B">
      <w:pPr>
        <w:widowControl w:val="0"/>
        <w:autoSpaceDE w:val="0"/>
        <w:autoSpaceDN w:val="0"/>
        <w:spacing w:after="0" w:line="240" w:lineRule="auto"/>
        <w:ind w:left="2814" w:right="2814"/>
        <w:jc w:val="center"/>
        <w:rPr>
          <w:rFonts w:ascii="Times New Roman" w:eastAsia="Times New Roman" w:hAnsi="Times New Roman"/>
          <w:lang w:val="es-ES"/>
        </w:rPr>
      </w:pPr>
      <w:r>
        <w:rPr>
          <w:rFonts w:ascii="Times New Roman" w:eastAsia="Times New Roman" w:hAnsi="Times New Roman"/>
          <w:lang w:val="es-ES"/>
        </w:rPr>
        <w:t>NOTA INFORMATIVA</w:t>
      </w:r>
    </w:p>
    <w:p w14:paraId="5C2EFFD1" w14:textId="77777777" w:rsidR="00B06F4B" w:rsidRDefault="00B06F4B" w:rsidP="00B06F4B">
      <w:pPr>
        <w:spacing w:after="0" w:line="254" w:lineRule="auto"/>
        <w:jc w:val="center"/>
        <w:rPr>
          <w:rFonts w:ascii="Times New Roman" w:eastAsia="Calibri" w:hAnsi="Times New Roman"/>
          <w:lang w:val="es-ES"/>
        </w:rPr>
      </w:pPr>
      <w:r>
        <w:rPr>
          <w:rFonts w:ascii="Times New Roman" w:eastAsia="Calibri" w:hAnsi="Times New Roman"/>
          <w:lang w:val="es-ES"/>
        </w:rPr>
        <w:t>(Presentada por Canadá)</w:t>
      </w:r>
    </w:p>
    <w:p w14:paraId="1218EACB" w14:textId="77777777" w:rsidR="00B06F4B" w:rsidRDefault="00B06F4B" w:rsidP="00B06F4B">
      <w:pPr>
        <w:spacing w:after="0" w:line="254" w:lineRule="auto"/>
        <w:jc w:val="both"/>
        <w:rPr>
          <w:rFonts w:ascii="Times New Roman" w:eastAsia="Calibri" w:hAnsi="Times New Roman"/>
          <w:lang w:val="es-ES"/>
        </w:rPr>
      </w:pPr>
    </w:p>
    <w:p w14:paraId="60F41681" w14:textId="77777777" w:rsidR="00B06F4B" w:rsidRDefault="00B06F4B" w:rsidP="00B06F4B">
      <w:pPr>
        <w:spacing w:after="0" w:line="254" w:lineRule="auto"/>
        <w:jc w:val="both"/>
        <w:rPr>
          <w:rFonts w:ascii="Times New Roman" w:eastAsia="Calibri" w:hAnsi="Times New Roman"/>
          <w:lang w:val="es-ES"/>
        </w:rPr>
      </w:pPr>
    </w:p>
    <w:p w14:paraId="0F104BE0"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PANORAMA</w:t>
      </w:r>
    </w:p>
    <w:p w14:paraId="7F3B9142"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2B409CB8"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La finalidad de este documento es determinar los asuntos que se abordarán en la Segunda Conferencia de los </w:t>
      </w:r>
      <w:proofErr w:type="gramStart"/>
      <w:r>
        <w:rPr>
          <w:rFonts w:ascii="Times New Roman" w:hAnsi="Times New Roman"/>
          <w:lang w:val="es-ES"/>
        </w:rPr>
        <w:t>Estados Partes</w:t>
      </w:r>
      <w:proofErr w:type="gramEnd"/>
      <w:r>
        <w:rPr>
          <w:rFonts w:ascii="Times New Roman" w:hAnsi="Times New Roman"/>
          <w:lang w:val="es-ES"/>
        </w:rPr>
        <w:t xml:space="preserve"> de la Convención Interamericana sobre Transparencia en las Adquisiciones de Armas Convencionales (CITAAC), que se celebrará de forma virtual el 19 de abril de 2022, presidida por Canadá.</w:t>
      </w:r>
    </w:p>
    <w:p w14:paraId="68C90F8A"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04661307"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La Conferencia de los </w:t>
      </w:r>
      <w:proofErr w:type="gramStart"/>
      <w:r>
        <w:rPr>
          <w:rFonts w:ascii="Times New Roman" w:hAnsi="Times New Roman"/>
          <w:lang w:val="es-ES"/>
        </w:rPr>
        <w:t>Estados Partes</w:t>
      </w:r>
      <w:proofErr w:type="gramEnd"/>
      <w:r>
        <w:rPr>
          <w:rFonts w:ascii="Times New Roman" w:hAnsi="Times New Roman"/>
          <w:lang w:val="es-ES"/>
        </w:rPr>
        <w:t xml:space="preserve"> de la CITAAC es el órgano supremo de la Convención y reúne a las autoridades de los Estados Partes para examinar su funcionamiento y aplicación y considerar ulteriores medidas de transparencia compatibles con el objeto de la Convención (artículo VIII de la CITAAC). Además, en esta Segunda Conferencia, los </w:t>
      </w:r>
      <w:proofErr w:type="gramStart"/>
      <w:r>
        <w:rPr>
          <w:rFonts w:ascii="Times New Roman" w:hAnsi="Times New Roman"/>
          <w:lang w:val="es-ES"/>
        </w:rPr>
        <w:t>Estados Partes</w:t>
      </w:r>
      <w:proofErr w:type="gramEnd"/>
      <w:r>
        <w:rPr>
          <w:rFonts w:ascii="Times New Roman" w:hAnsi="Times New Roman"/>
          <w:lang w:val="es-ES"/>
        </w:rPr>
        <w:t xml:space="preserve"> de la CITAAC analizarán una estrategia para institucionalizar la Convención a fin de fomentar la presentación de informes anuales y una mayor observancia de la CITAAC.</w:t>
      </w:r>
    </w:p>
    <w:p w14:paraId="5AF4AA9D" w14:textId="77777777" w:rsidR="00B06F4B" w:rsidRDefault="00B06F4B" w:rsidP="00B06F4B">
      <w:pPr>
        <w:autoSpaceDE w:val="0"/>
        <w:autoSpaceDN w:val="0"/>
        <w:adjustRightInd w:val="0"/>
        <w:spacing w:after="0" w:line="240" w:lineRule="auto"/>
        <w:jc w:val="both"/>
        <w:rPr>
          <w:rFonts w:ascii="Times New Roman" w:hAnsi="Times New Roman"/>
          <w:bCs/>
          <w:lang w:val="es-ES"/>
        </w:rPr>
      </w:pPr>
    </w:p>
    <w:p w14:paraId="77423647"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JUSTIFICACIÓN</w:t>
      </w:r>
    </w:p>
    <w:p w14:paraId="42293B8D"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42DE7081"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La transparencia en las adquisiciones de armas convencionales es una medida importante para la paz y la estabilidad en todo el mundo. En vista de ello, la CITAAC fue adoptada en 1999. La Convención, que entró en vigor en 2002, ha sido ratificada por 17 Estados Miembros de la OEA y firmada por cuatro. </w:t>
      </w:r>
    </w:p>
    <w:p w14:paraId="6A8EEE5C"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085B3609"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Por medio de la CITAAC, los gobiernos se comprometieron a presentar informes anuales sobre sus importaciones, sus exportaciones y su producción nacional de armas. El intercambio de esta información puede fomentar la confianza en la región y facilitar la detección temprana y la prevención de los riesgos que podría plantear una acumulación excesiva o desestabilizadora de armas. Las armas convencionales son las que se usan por lo general en conflictos armados, como carros de combate, misiles y vehículos blindados de combate. En la mayoría de los países hay leyes que prohíben la portación de estas armas por la población civil que son restrictas al uso por las fuerzas armadas. Al ser transparentes y previsibles, los Estados pueden fomentar la confianza y atender al mismo tiempo sus necesidades legítimas en materia de seguridad.</w:t>
      </w:r>
    </w:p>
    <w:p w14:paraId="2E34BF5A"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389DAF7F"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Actualmente, la eficacia de la CITAAC se ha visto disminuida por la escasez de informes presentados por los </w:t>
      </w:r>
      <w:proofErr w:type="gramStart"/>
      <w:r>
        <w:rPr>
          <w:rFonts w:ascii="Times New Roman" w:hAnsi="Times New Roman"/>
          <w:lang w:val="es-ES"/>
        </w:rPr>
        <w:t>Estados Partes</w:t>
      </w:r>
      <w:proofErr w:type="gramEnd"/>
      <w:r>
        <w:rPr>
          <w:rFonts w:ascii="Times New Roman" w:hAnsi="Times New Roman"/>
          <w:lang w:val="es-ES"/>
        </w:rPr>
        <w:t xml:space="preserve"> y la falta de espacios constructivos para promover el diálogo entre ellos. En total se han realizado cinco reuniones políticas de la CITAAC:</w:t>
      </w:r>
    </w:p>
    <w:p w14:paraId="14625FC6"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1D00F118"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2006: Primera Reunión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 (en preparación para la Conferencia de los Estados Partes de 2009);</w:t>
      </w:r>
    </w:p>
    <w:p w14:paraId="482DE81B"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2008: Segunda Reunión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 (en preparación para la Conferencia de los Estados Partes de 2009); </w:t>
      </w:r>
    </w:p>
    <w:p w14:paraId="242E2B1A"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2009: Tercera Reunión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 (en preparación para la Conferencia de los Estados Partes de 2009);</w:t>
      </w:r>
    </w:p>
    <w:p w14:paraId="1A384F60"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2009: Primera Conferencia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w:t>
      </w:r>
    </w:p>
    <w:p w14:paraId="7D49E1EC"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2013: Reunión de Puntos de Contacto Nacionales de la CITAAC.</w:t>
      </w:r>
    </w:p>
    <w:p w14:paraId="166D28F3"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74C8C2D3" w14:textId="77777777" w:rsidR="00B06F4B" w:rsidRDefault="00B06F4B" w:rsidP="00B06F4B">
      <w:pPr>
        <w:autoSpaceDE w:val="0"/>
        <w:autoSpaceDN w:val="0"/>
        <w:adjustRightInd w:val="0"/>
        <w:spacing w:after="0" w:line="240" w:lineRule="auto"/>
        <w:ind w:firstLine="720"/>
        <w:jc w:val="both"/>
        <w:rPr>
          <w:rFonts w:ascii="Times New Roman" w:eastAsia="Times New Roman" w:hAnsi="Times New Roman"/>
          <w:lang w:val="es-ES"/>
        </w:rPr>
      </w:pPr>
      <w:r>
        <w:rPr>
          <w:rFonts w:ascii="Times New Roman" w:hAnsi="Times New Roman"/>
          <w:lang w:val="es-ES"/>
        </w:rPr>
        <w:t xml:space="preserve">En estas reuniones, los </w:t>
      </w:r>
      <w:proofErr w:type="gramStart"/>
      <w:r>
        <w:rPr>
          <w:rFonts w:ascii="Times New Roman" w:hAnsi="Times New Roman"/>
          <w:lang w:val="es-ES"/>
        </w:rPr>
        <w:t>Estados Partes</w:t>
      </w:r>
      <w:proofErr w:type="gramEnd"/>
      <w:r>
        <w:rPr>
          <w:rFonts w:ascii="Times New Roman" w:hAnsi="Times New Roman"/>
          <w:lang w:val="es-ES"/>
        </w:rPr>
        <w:t xml:space="preserve"> examinaron las dificultades para presentar informes anuales y abordaron estrategias para facilitar esta tarea. Reiteraron la necesidad de establecer mecanismos de seguimiento para aumentar la aplicación de la </w:t>
      </w:r>
      <w:r>
        <w:rPr>
          <w:rFonts w:ascii="Times New Roman" w:eastAsia="Times New Roman" w:hAnsi="Times New Roman"/>
          <w:lang w:val="es-ES"/>
        </w:rPr>
        <w:t xml:space="preserve">CITAAC y ayudar a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a cumplir sus </w:t>
      </w:r>
      <w:r>
        <w:rPr>
          <w:rFonts w:ascii="Times New Roman" w:hAnsi="Times New Roman"/>
          <w:lang w:val="es-ES"/>
        </w:rPr>
        <w:t>disposiciones</w:t>
      </w:r>
      <w:r>
        <w:rPr>
          <w:rFonts w:ascii="Times New Roman" w:eastAsia="Times New Roman" w:hAnsi="Times New Roman"/>
          <w:lang w:val="es-ES"/>
        </w:rPr>
        <w:t xml:space="preserve">, entre ellas el establecimiento de una Secretaría Técnica. La Secretaría Técnica podría ayudar a los países a presentar informes y encargarse de sistematizar y diseminar la información contenida en ellos, y promover el diálogo entre </w:t>
      </w:r>
      <w:r>
        <w:rPr>
          <w:rFonts w:ascii="Times New Roman" w:hAnsi="Times New Roman"/>
          <w:lang w:val="es-ES"/>
        </w:rPr>
        <w:t xml:space="preserve">los </w:t>
      </w:r>
      <w:proofErr w:type="gramStart"/>
      <w:r>
        <w:rPr>
          <w:rFonts w:ascii="Times New Roman" w:hAnsi="Times New Roman"/>
          <w:lang w:val="es-ES"/>
        </w:rPr>
        <w:t>Estados Partes</w:t>
      </w:r>
      <w:proofErr w:type="gramEnd"/>
      <w:r>
        <w:rPr>
          <w:rFonts w:ascii="Times New Roman" w:eastAsia="Times New Roman" w:hAnsi="Times New Roman"/>
          <w:lang w:val="es-ES"/>
        </w:rPr>
        <w:t xml:space="preserve"> por medio de la organización de conferencias y reuniones periódicas.</w:t>
      </w:r>
    </w:p>
    <w:p w14:paraId="54E6FC9B"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3C75AC23"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En la Segunda Conferencia se espera que los </w:t>
      </w:r>
      <w:proofErr w:type="gramStart"/>
      <w:r>
        <w:rPr>
          <w:rFonts w:ascii="Times New Roman" w:hAnsi="Times New Roman"/>
          <w:lang w:val="es-ES"/>
        </w:rPr>
        <w:t>Estados Partes</w:t>
      </w:r>
      <w:proofErr w:type="gramEnd"/>
      <w:r>
        <w:rPr>
          <w:rFonts w:ascii="Times New Roman" w:hAnsi="Times New Roman"/>
          <w:lang w:val="es-ES"/>
        </w:rPr>
        <w:t xml:space="preserve"> consideren el establecimiento de la estructura de gobernanza de la CITAAC, con la institucionalización del Comité Consultivo y la Secretaría Técnica, a fin de fortalecer la Convención. Además, se espera mantener un dialogo integral sobre la orientación futura de la CITAAC. </w:t>
      </w:r>
    </w:p>
    <w:p w14:paraId="09598ECA"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4BC78737"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OBJETIVOS</w:t>
      </w:r>
    </w:p>
    <w:p w14:paraId="409B2CC9" w14:textId="77777777" w:rsidR="00B06F4B" w:rsidRDefault="00B06F4B" w:rsidP="00B06F4B">
      <w:pPr>
        <w:autoSpaceDE w:val="0"/>
        <w:autoSpaceDN w:val="0"/>
        <w:adjustRightInd w:val="0"/>
        <w:spacing w:line="240" w:lineRule="auto"/>
        <w:contextualSpacing/>
        <w:jc w:val="both"/>
        <w:rPr>
          <w:rFonts w:ascii="Times New Roman" w:eastAsia="SimSun" w:hAnsi="Times New Roman"/>
          <w:lang w:val="es-ES" w:eastAsia="es-MX"/>
        </w:rPr>
      </w:pPr>
    </w:p>
    <w:p w14:paraId="1C11F2C3"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Los objetivos de la Segunda Conferencia de la CITAAC son los siguientes:</w:t>
      </w:r>
    </w:p>
    <w:p w14:paraId="779AF136"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0E24A4AC" w14:textId="77777777" w:rsidR="00B06F4B" w:rsidRDefault="00B06F4B" w:rsidP="00B06F4B">
      <w:pPr>
        <w:pStyle w:val="ListParagraph"/>
        <w:numPr>
          <w:ilvl w:val="0"/>
          <w:numId w:val="43"/>
        </w:num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considerar y aprobar el proyecto de Reglamento de la Conferencia de los </w:t>
      </w:r>
      <w:proofErr w:type="gramStart"/>
      <w:r>
        <w:rPr>
          <w:rFonts w:ascii="Times New Roman" w:hAnsi="Times New Roman"/>
          <w:lang w:val="es-ES"/>
        </w:rPr>
        <w:t>Estados Partes</w:t>
      </w:r>
      <w:proofErr w:type="gramEnd"/>
      <w:r>
        <w:rPr>
          <w:rFonts w:ascii="Times New Roman" w:hAnsi="Times New Roman"/>
          <w:lang w:val="es-ES"/>
        </w:rPr>
        <w:t xml:space="preserve"> y el proyecto de Reglamento Interno del Comité Consultivo;</w:t>
      </w:r>
    </w:p>
    <w:p w14:paraId="2ECE1E4C"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346D0BD9" w14:textId="77777777" w:rsidR="00B06F4B" w:rsidRDefault="00B06F4B" w:rsidP="00B06F4B">
      <w:pPr>
        <w:pStyle w:val="ListParagraph"/>
        <w:numPr>
          <w:ilvl w:val="0"/>
          <w:numId w:val="43"/>
        </w:num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analizar los avances en la aplicación de la Convención y considerar potenciales medidas adicionales de transparencia, incluidas modificaciones de la lista de armas convencionales;</w:t>
      </w:r>
    </w:p>
    <w:p w14:paraId="566C4D30"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13D9FD9C" w14:textId="77777777" w:rsidR="00B06F4B" w:rsidRDefault="00B06F4B" w:rsidP="00B06F4B">
      <w:pPr>
        <w:pStyle w:val="ListParagraph"/>
        <w:numPr>
          <w:ilvl w:val="0"/>
          <w:numId w:val="43"/>
        </w:num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examinar las prioridades y los objetivos para avanzar en el cumplimiento de las disposiciones de la Convención;</w:t>
      </w:r>
    </w:p>
    <w:p w14:paraId="2CE314FA"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1EA8835A" w14:textId="77777777" w:rsidR="00B06F4B" w:rsidRDefault="00B06F4B" w:rsidP="00B06F4B">
      <w:pPr>
        <w:pStyle w:val="ListParagraph"/>
        <w:numPr>
          <w:ilvl w:val="0"/>
          <w:numId w:val="43"/>
        </w:numPr>
        <w:autoSpaceDE w:val="0"/>
        <w:autoSpaceDN w:val="0"/>
        <w:adjustRightInd w:val="0"/>
        <w:spacing w:after="0" w:line="240" w:lineRule="auto"/>
        <w:jc w:val="both"/>
        <w:rPr>
          <w:rFonts w:ascii="Times New Roman" w:hAnsi="Times New Roman"/>
          <w:b/>
          <w:lang w:val="es-ES"/>
        </w:rPr>
      </w:pPr>
      <w:r>
        <w:rPr>
          <w:rFonts w:ascii="Times New Roman" w:hAnsi="Times New Roman"/>
          <w:lang w:val="es-ES"/>
        </w:rPr>
        <w:t xml:space="preserve">considerar y aprobar las recomendaciones de la Segunda Conferencia de los </w:t>
      </w:r>
      <w:proofErr w:type="gramStart"/>
      <w:r>
        <w:rPr>
          <w:rFonts w:ascii="Times New Roman" w:hAnsi="Times New Roman"/>
          <w:lang w:val="es-ES"/>
        </w:rPr>
        <w:t>Estados Partes</w:t>
      </w:r>
      <w:proofErr w:type="gramEnd"/>
      <w:r>
        <w:rPr>
          <w:rFonts w:ascii="Times New Roman" w:hAnsi="Times New Roman"/>
          <w:lang w:val="es-ES"/>
        </w:rPr>
        <w:t xml:space="preserve">. </w:t>
      </w:r>
    </w:p>
    <w:p w14:paraId="41C3E6F1"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137F7DD3"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FORMATO DE LA REUNIÓN</w:t>
      </w:r>
    </w:p>
    <w:p w14:paraId="1D0ACC10"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4243556F" w14:textId="77777777" w:rsidR="00B06F4B" w:rsidRDefault="00B06F4B" w:rsidP="00B06F4B">
      <w:pPr>
        <w:numPr>
          <w:ilvl w:val="0"/>
          <w:numId w:val="44"/>
        </w:numPr>
        <w:autoSpaceDE w:val="0"/>
        <w:autoSpaceDN w:val="0"/>
        <w:adjustRightInd w:val="0"/>
        <w:spacing w:after="0" w:line="240" w:lineRule="auto"/>
        <w:ind w:left="1440" w:hanging="720"/>
        <w:jc w:val="both"/>
        <w:rPr>
          <w:rFonts w:ascii="Times New Roman" w:hAnsi="Times New Roman"/>
          <w:lang w:val="es-ES"/>
        </w:rPr>
      </w:pPr>
      <w:r>
        <w:rPr>
          <w:rFonts w:ascii="Times New Roman" w:hAnsi="Times New Roman"/>
          <w:lang w:val="es-ES"/>
        </w:rPr>
        <w:t>La Segunda Conferencia durará un día. Consistirá en una sesión matutina de dos horas (de 10:00 a 12:00, hora de Washington) y una sesión vespertina de dos horas (de 14:30 a 16:30, hora de Washington). La conferencia, que se realizará por medio de la plataforma virtual utilizada por la OEA para reuniones virtuales (</w:t>
      </w:r>
      <w:proofErr w:type="spellStart"/>
      <w:r>
        <w:rPr>
          <w:rFonts w:ascii="Times New Roman" w:hAnsi="Times New Roman"/>
          <w:lang w:val="es-ES"/>
        </w:rPr>
        <w:t>Kudo</w:t>
      </w:r>
      <w:proofErr w:type="spellEnd"/>
      <w:r>
        <w:rPr>
          <w:rFonts w:ascii="Times New Roman" w:hAnsi="Times New Roman"/>
          <w:lang w:val="es-ES"/>
        </w:rPr>
        <w:t xml:space="preserve">), tendrá seis partes: </w:t>
      </w:r>
    </w:p>
    <w:p w14:paraId="2C315213" w14:textId="77777777" w:rsidR="00B06F4B" w:rsidRDefault="00B06F4B" w:rsidP="00B06F4B">
      <w:pPr>
        <w:numPr>
          <w:ilvl w:val="0"/>
          <w:numId w:val="45"/>
        </w:numPr>
        <w:autoSpaceDE w:val="0"/>
        <w:autoSpaceDN w:val="0"/>
        <w:adjustRightInd w:val="0"/>
        <w:spacing w:before="120" w:after="120" w:line="240" w:lineRule="auto"/>
        <w:ind w:hanging="696"/>
        <w:jc w:val="both"/>
        <w:rPr>
          <w:rFonts w:ascii="Times New Roman" w:hAnsi="Times New Roman"/>
          <w:lang w:val="es-ES"/>
        </w:rPr>
      </w:pPr>
      <w:r>
        <w:rPr>
          <w:rFonts w:ascii="Times New Roman" w:hAnsi="Times New Roman"/>
          <w:lang w:val="es-ES"/>
        </w:rPr>
        <w:t xml:space="preserve">Conexión a la plataforma; </w:t>
      </w:r>
    </w:p>
    <w:p w14:paraId="7B267911"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lastRenderedPageBreak/>
        <w:t>Ceremonia de apertura;</w:t>
      </w:r>
    </w:p>
    <w:p w14:paraId="0DFF7D09"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t xml:space="preserve">Sesión introductoria, en la cual se elegirá al </w:t>
      </w:r>
      <w:proofErr w:type="gramStart"/>
      <w:r>
        <w:rPr>
          <w:rFonts w:ascii="Times New Roman" w:hAnsi="Times New Roman"/>
          <w:lang w:val="es-ES"/>
        </w:rPr>
        <w:t>Presidente</w:t>
      </w:r>
      <w:proofErr w:type="gramEnd"/>
      <w:r>
        <w:rPr>
          <w:rFonts w:ascii="Times New Roman" w:hAnsi="Times New Roman"/>
          <w:lang w:val="es-ES"/>
        </w:rPr>
        <w:t>, el Vicepresidente y el Relator de la Conferencia. Inmediatamente después de las elecciones se aprobarán el temario y el calendario de la reunión. La Secretaría General de la OEA presentará un informe del estado de la Convención;</w:t>
      </w:r>
    </w:p>
    <w:p w14:paraId="1D6C7F7D"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t xml:space="preserve">Sesión para tratar la institucionalización de la CITAAC, en la cual la Secretaría General de la OEA relatará las actividades realizadas para fortalecer la Convención. A continuación, los </w:t>
      </w:r>
      <w:proofErr w:type="gramStart"/>
      <w:r>
        <w:rPr>
          <w:rFonts w:ascii="Times New Roman" w:hAnsi="Times New Roman"/>
          <w:lang w:val="es-ES"/>
        </w:rPr>
        <w:t>Estados Partes</w:t>
      </w:r>
      <w:proofErr w:type="gramEnd"/>
      <w:r>
        <w:rPr>
          <w:rFonts w:ascii="Times New Roman" w:hAnsi="Times New Roman"/>
          <w:lang w:val="es-ES"/>
        </w:rPr>
        <w:t xml:space="preserve"> considerarán la aprobación de los dos documentos para institucionalizar la Convención: el Reglamento de la Conferencia de los Estados Partes y el Reglamento Interno del Comité Consultivo;</w:t>
      </w:r>
    </w:p>
    <w:p w14:paraId="6663A13F"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t>Se invitará a los Estados Miembros a que participen en dos paneles temáticos y uno técnico, que se describen más adelante;</w:t>
      </w:r>
    </w:p>
    <w:p w14:paraId="172DC8A1"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t xml:space="preserve">Aprobación de las recomendaciones de la Segunda Conferencia de los </w:t>
      </w:r>
      <w:proofErr w:type="gramStart"/>
      <w:r>
        <w:rPr>
          <w:rFonts w:ascii="Times New Roman" w:hAnsi="Times New Roman"/>
          <w:lang w:val="es-ES"/>
        </w:rPr>
        <w:t>Estados Partes</w:t>
      </w:r>
      <w:proofErr w:type="gramEnd"/>
      <w:r>
        <w:rPr>
          <w:rFonts w:ascii="Times New Roman" w:hAnsi="Times New Roman"/>
          <w:lang w:val="es-ES"/>
        </w:rPr>
        <w:t xml:space="preserve"> de la CITAAC; </w:t>
      </w:r>
    </w:p>
    <w:p w14:paraId="52767AB0" w14:textId="77777777" w:rsidR="00B06F4B" w:rsidRDefault="00B06F4B" w:rsidP="00B06F4B">
      <w:pPr>
        <w:numPr>
          <w:ilvl w:val="0"/>
          <w:numId w:val="45"/>
        </w:numPr>
        <w:autoSpaceDE w:val="0"/>
        <w:autoSpaceDN w:val="0"/>
        <w:adjustRightInd w:val="0"/>
        <w:spacing w:before="120" w:after="120" w:line="240" w:lineRule="auto"/>
        <w:jc w:val="both"/>
        <w:rPr>
          <w:rFonts w:ascii="Times New Roman" w:hAnsi="Times New Roman"/>
          <w:lang w:val="es-ES"/>
        </w:rPr>
      </w:pPr>
      <w:r>
        <w:rPr>
          <w:rFonts w:ascii="Times New Roman" w:hAnsi="Times New Roman"/>
          <w:lang w:val="es-ES"/>
        </w:rPr>
        <w:t>Ceremonia de clausura.</w:t>
      </w:r>
    </w:p>
    <w:p w14:paraId="264DA69A" w14:textId="77777777" w:rsidR="00B06F4B" w:rsidRDefault="00B06F4B" w:rsidP="00B06F4B">
      <w:pPr>
        <w:autoSpaceDE w:val="0"/>
        <w:autoSpaceDN w:val="0"/>
        <w:adjustRightInd w:val="0"/>
        <w:spacing w:after="0" w:line="240" w:lineRule="auto"/>
        <w:jc w:val="both"/>
        <w:rPr>
          <w:rFonts w:ascii="Times New Roman" w:hAnsi="Times New Roman"/>
          <w:bCs/>
          <w:lang w:val="es-ES"/>
        </w:rPr>
      </w:pPr>
    </w:p>
    <w:p w14:paraId="0BFD34AB"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INSTITUCIONALIZACIÓN DE LA CITAAC</w:t>
      </w:r>
    </w:p>
    <w:p w14:paraId="0BDA4BFB" w14:textId="77777777" w:rsidR="00B06F4B" w:rsidRDefault="00B06F4B" w:rsidP="00B06F4B">
      <w:pPr>
        <w:autoSpaceDE w:val="0"/>
        <w:autoSpaceDN w:val="0"/>
        <w:adjustRightInd w:val="0"/>
        <w:spacing w:after="0" w:line="240" w:lineRule="auto"/>
        <w:jc w:val="both"/>
        <w:rPr>
          <w:rFonts w:ascii="Times New Roman" w:hAnsi="Times New Roman"/>
          <w:bCs/>
          <w:lang w:val="es-ES"/>
        </w:rPr>
      </w:pPr>
    </w:p>
    <w:p w14:paraId="50A19714" w14:textId="77777777" w:rsidR="00B06F4B" w:rsidRDefault="00B06F4B" w:rsidP="00B06F4B">
      <w:pPr>
        <w:autoSpaceDE w:val="0"/>
        <w:autoSpaceDN w:val="0"/>
        <w:adjustRightInd w:val="0"/>
        <w:spacing w:after="0" w:line="240" w:lineRule="auto"/>
        <w:ind w:firstLine="720"/>
        <w:jc w:val="both"/>
        <w:rPr>
          <w:rFonts w:ascii="Times New Roman" w:eastAsia="Times New Roman" w:hAnsi="Times New Roman"/>
          <w:lang w:val="es-ES"/>
        </w:rPr>
      </w:pPr>
      <w:r>
        <w:rPr>
          <w:rFonts w:ascii="Times New Roman" w:eastAsia="Times New Roman" w:hAnsi="Times New Roman"/>
          <w:lang w:val="es-ES"/>
        </w:rPr>
        <w:t xml:space="preserve">Teniendo en cuenta las recomendaciones de las reuniones anteriores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 los Estados Miembros de la OEA han solicitado a la Secretaría General que tome medidas </w:t>
      </w:r>
      <w:r>
        <w:rPr>
          <w:rFonts w:ascii="Times New Roman" w:hAnsi="Times New Roman"/>
          <w:lang w:val="es-ES"/>
        </w:rPr>
        <w:t>apropiadas</w:t>
      </w:r>
      <w:r>
        <w:rPr>
          <w:rFonts w:ascii="Times New Roman" w:eastAsia="Times New Roman" w:hAnsi="Times New Roman"/>
          <w:lang w:val="es-ES"/>
        </w:rPr>
        <w:t xml:space="preserve"> para establecer y definir una Secretaría Técnica de la CITAAC, a fin de que proporcione asistencia a los Estados Miembros en la aplicación de la Convención [párrafo 94 de la resolución AG/RES. 2945 (XLIX-O/19)]. </w:t>
      </w:r>
    </w:p>
    <w:p w14:paraId="622DAB43" w14:textId="77777777" w:rsidR="00B06F4B" w:rsidRDefault="00B06F4B" w:rsidP="00B06F4B">
      <w:pPr>
        <w:autoSpaceDE w:val="0"/>
        <w:autoSpaceDN w:val="0"/>
        <w:adjustRightInd w:val="0"/>
        <w:spacing w:after="0" w:line="240" w:lineRule="auto"/>
        <w:jc w:val="both"/>
        <w:rPr>
          <w:rFonts w:ascii="Times New Roman" w:eastAsia="Times New Roman" w:hAnsi="Times New Roman"/>
          <w:lang w:val="es-ES"/>
        </w:rPr>
      </w:pPr>
    </w:p>
    <w:p w14:paraId="0D1010BF" w14:textId="77777777" w:rsidR="00B06F4B" w:rsidRDefault="00B06F4B" w:rsidP="00B06F4B">
      <w:pPr>
        <w:autoSpaceDE w:val="0"/>
        <w:autoSpaceDN w:val="0"/>
        <w:adjustRightInd w:val="0"/>
        <w:spacing w:after="0" w:line="240" w:lineRule="auto"/>
        <w:ind w:firstLine="720"/>
        <w:jc w:val="both"/>
        <w:rPr>
          <w:rFonts w:ascii="Times New Roman" w:eastAsia="Times New Roman" w:hAnsi="Times New Roman"/>
          <w:lang w:val="es-ES"/>
        </w:rPr>
      </w:pPr>
      <w:r>
        <w:rPr>
          <w:rFonts w:ascii="Times New Roman" w:eastAsia="Times New Roman" w:hAnsi="Times New Roman"/>
          <w:lang w:val="es-ES"/>
        </w:rPr>
        <w:t>De acuerdo con ese mandato, el Departamento de Seguridad Pública de la Secretaría de Seguridad Multidimensional de la OEA (DSP/OEA), con el apoyo de la Junta Interamericana de Defensa, ha redactado dos documentos que permitirán institucionalizar la CITAAC:</w:t>
      </w:r>
    </w:p>
    <w:p w14:paraId="3C5F15FA" w14:textId="77777777" w:rsidR="00B06F4B" w:rsidRDefault="00B06F4B" w:rsidP="00B06F4B">
      <w:pPr>
        <w:spacing w:after="0" w:line="240" w:lineRule="auto"/>
        <w:jc w:val="both"/>
        <w:rPr>
          <w:rFonts w:ascii="Times New Roman" w:eastAsia="Times New Roman" w:hAnsi="Times New Roman"/>
          <w:lang w:val="es-ES"/>
        </w:rPr>
      </w:pPr>
    </w:p>
    <w:p w14:paraId="26DAE034"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el proyecto de Reglamento de la Conferencia de los </w:t>
      </w:r>
      <w:proofErr w:type="gramStart"/>
      <w:r>
        <w:rPr>
          <w:rFonts w:ascii="Times New Roman" w:eastAsia="Times New Roman" w:hAnsi="Times New Roman"/>
          <w:lang w:val="es-ES"/>
        </w:rPr>
        <w:t>Estados Partes</w:t>
      </w:r>
      <w:proofErr w:type="gramEnd"/>
      <w:r>
        <w:rPr>
          <w:rFonts w:ascii="Times New Roman" w:eastAsia="Times New Roman" w:hAnsi="Times New Roman"/>
          <w:lang w:val="es-ES"/>
        </w:rPr>
        <w:t xml:space="preserve"> de la CITAAC, y</w:t>
      </w:r>
    </w:p>
    <w:p w14:paraId="35D7F033" w14:textId="77777777" w:rsidR="00B06F4B" w:rsidRDefault="00B06F4B" w:rsidP="00B06F4B">
      <w:pPr>
        <w:pStyle w:val="ListParagraph"/>
        <w:numPr>
          <w:ilvl w:val="0"/>
          <w:numId w:val="42"/>
        </w:numPr>
        <w:spacing w:after="0" w:line="240" w:lineRule="auto"/>
        <w:jc w:val="both"/>
        <w:rPr>
          <w:rFonts w:ascii="Times New Roman" w:eastAsia="Times New Roman" w:hAnsi="Times New Roman"/>
          <w:lang w:val="es-ES"/>
        </w:rPr>
      </w:pPr>
      <w:r>
        <w:rPr>
          <w:rFonts w:ascii="Times New Roman" w:eastAsia="Times New Roman" w:hAnsi="Times New Roman"/>
          <w:lang w:val="es-ES"/>
        </w:rPr>
        <w:t>el proyecto de Reglamento Interno del Comité Consultivo de la CITAAC.</w:t>
      </w:r>
    </w:p>
    <w:p w14:paraId="3826AF0B"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3F15FCA8"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La elaboración de estos documentos se </w:t>
      </w:r>
      <w:proofErr w:type="spellStart"/>
      <w:r>
        <w:rPr>
          <w:rFonts w:ascii="Times New Roman" w:hAnsi="Times New Roman"/>
          <w:lang w:val="es-ES"/>
        </w:rPr>
        <w:t>guió</w:t>
      </w:r>
      <w:proofErr w:type="spellEnd"/>
      <w:r>
        <w:rPr>
          <w:rFonts w:ascii="Times New Roman" w:hAnsi="Times New Roman"/>
          <w:lang w:val="es-ES"/>
        </w:rPr>
        <w:t xml:space="preserve"> por una revisión documental de otras convenciones y los antecedentes de la </w:t>
      </w:r>
      <w:r>
        <w:rPr>
          <w:rFonts w:ascii="Times New Roman" w:eastAsia="Times New Roman" w:hAnsi="Times New Roman"/>
          <w:lang w:val="es-ES"/>
        </w:rPr>
        <w:t>CITAAC</w:t>
      </w:r>
      <w:r>
        <w:rPr>
          <w:rFonts w:ascii="Times New Roman" w:hAnsi="Times New Roman"/>
          <w:lang w:val="es-ES"/>
        </w:rPr>
        <w:t>, que constan en el informe del DSP/OEA a la Comisión de Seguridad Hemisférica (CSH) del Consejo Permanente de la OEA (documento CP/CSH-1978/20). Los Estados Miembros de la OEA analizaron ambos documentos y decidieron someterlos a la consideración de la Segunda Conferencia de la CITAAC [párrafo 80 de la resolución AG/RES. 2970 (LI-O/21)].</w:t>
      </w:r>
    </w:p>
    <w:p w14:paraId="498A93B2"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6450E542"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t xml:space="preserve">Por consiguiente, en la Segunda Conferencia se espera que los </w:t>
      </w:r>
      <w:proofErr w:type="gramStart"/>
      <w:r>
        <w:rPr>
          <w:rFonts w:ascii="Times New Roman" w:hAnsi="Times New Roman"/>
          <w:lang w:val="es-ES"/>
        </w:rPr>
        <w:t>Estados Partes</w:t>
      </w:r>
      <w:proofErr w:type="gramEnd"/>
      <w:r>
        <w:rPr>
          <w:rFonts w:ascii="Times New Roman" w:hAnsi="Times New Roman"/>
          <w:lang w:val="es-ES"/>
        </w:rPr>
        <w:t xml:space="preserve"> consideren la aprobación de los documentos para institucionalizar la Secretaría Técnica de la CITAAC como mecanismo eficaz para facilitar el funcionamiento de la Convención y asistir a los Estados Partes en el cumplimiento de sus disposiciones.</w:t>
      </w:r>
    </w:p>
    <w:p w14:paraId="0E780DC4"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2EB4C430" w14:textId="77777777" w:rsidR="00B06F4B" w:rsidRDefault="00B06F4B" w:rsidP="00B06F4B">
      <w:pPr>
        <w:autoSpaceDE w:val="0"/>
        <w:autoSpaceDN w:val="0"/>
        <w:adjustRightInd w:val="0"/>
        <w:spacing w:after="0" w:line="240" w:lineRule="auto"/>
        <w:jc w:val="both"/>
        <w:rPr>
          <w:rFonts w:ascii="Times New Roman" w:hAnsi="Times New Roman"/>
          <w:b/>
          <w:lang w:val="es-ES"/>
        </w:rPr>
      </w:pPr>
      <w:r>
        <w:rPr>
          <w:rFonts w:ascii="Times New Roman" w:hAnsi="Times New Roman"/>
          <w:b/>
          <w:lang w:val="es-ES"/>
        </w:rPr>
        <w:t>PANELES</w:t>
      </w:r>
    </w:p>
    <w:p w14:paraId="67D730D0" w14:textId="77777777" w:rsidR="00B06F4B" w:rsidRDefault="00B06F4B" w:rsidP="00B06F4B">
      <w:pPr>
        <w:spacing w:after="0" w:line="240" w:lineRule="auto"/>
        <w:jc w:val="both"/>
        <w:rPr>
          <w:rFonts w:ascii="Times New Roman" w:hAnsi="Times New Roman"/>
          <w:bCs/>
          <w:lang w:val="es-ES"/>
        </w:rPr>
      </w:pPr>
    </w:p>
    <w:p w14:paraId="4578916D" w14:textId="77777777" w:rsidR="00B06F4B" w:rsidRDefault="00B06F4B" w:rsidP="00B06F4B">
      <w:pPr>
        <w:autoSpaceDE w:val="0"/>
        <w:autoSpaceDN w:val="0"/>
        <w:adjustRightInd w:val="0"/>
        <w:spacing w:after="0" w:line="240" w:lineRule="auto"/>
        <w:ind w:firstLine="720"/>
        <w:jc w:val="both"/>
        <w:rPr>
          <w:rFonts w:ascii="Times New Roman" w:hAnsi="Times New Roman"/>
          <w:lang w:val="es-ES"/>
        </w:rPr>
      </w:pPr>
      <w:r>
        <w:rPr>
          <w:rFonts w:ascii="Times New Roman" w:hAnsi="Times New Roman"/>
          <w:lang w:val="es-ES"/>
        </w:rPr>
        <w:lastRenderedPageBreak/>
        <w:t xml:space="preserve">En la Conferencia habrá dos paneles temáticos y uno técnico. Se invita a los </w:t>
      </w:r>
      <w:proofErr w:type="gramStart"/>
      <w:r>
        <w:rPr>
          <w:rFonts w:ascii="Times New Roman" w:hAnsi="Times New Roman"/>
          <w:lang w:val="es-ES"/>
        </w:rPr>
        <w:t>Estados Partes</w:t>
      </w:r>
      <w:proofErr w:type="gramEnd"/>
      <w:r>
        <w:rPr>
          <w:rFonts w:ascii="Times New Roman" w:hAnsi="Times New Roman"/>
          <w:lang w:val="es-ES"/>
        </w:rPr>
        <w:t xml:space="preserve"> que estén interesados en presentar oradores sobre uno o más temas a que se comuniquen con el Departamento de Seguridad Pública de la OEA.</w:t>
      </w:r>
    </w:p>
    <w:p w14:paraId="3D6FD1B9" w14:textId="77777777" w:rsidR="00B06F4B" w:rsidRDefault="00B06F4B" w:rsidP="00B06F4B">
      <w:pPr>
        <w:spacing w:after="0" w:line="240" w:lineRule="auto"/>
        <w:jc w:val="both"/>
        <w:rPr>
          <w:rFonts w:ascii="Times New Roman" w:hAnsi="Times New Roman"/>
          <w:bCs/>
          <w:lang w:val="es-ES"/>
        </w:rPr>
      </w:pPr>
    </w:p>
    <w:p w14:paraId="05CD78DB" w14:textId="77777777" w:rsidR="00B06F4B" w:rsidRDefault="00B06F4B" w:rsidP="00B06F4B">
      <w:pPr>
        <w:spacing w:after="0" w:line="240" w:lineRule="auto"/>
        <w:jc w:val="both"/>
        <w:rPr>
          <w:rFonts w:ascii="Times New Roman" w:hAnsi="Times New Roman"/>
          <w:b/>
          <w:lang w:val="es-ES" w:eastAsia="ja-JP"/>
        </w:rPr>
      </w:pPr>
      <w:r>
        <w:rPr>
          <w:rFonts w:ascii="Times New Roman" w:hAnsi="Times New Roman"/>
          <w:b/>
          <w:lang w:val="es-ES"/>
        </w:rPr>
        <w:t>TEMA 1. Pertinencia del enfoque</w:t>
      </w:r>
      <w:r>
        <w:rPr>
          <w:rFonts w:ascii="Times New Roman" w:hAnsi="Times New Roman"/>
          <w:b/>
          <w:lang w:val="es-ES" w:eastAsia="ja-JP"/>
        </w:rPr>
        <w:t xml:space="preserve"> regional y sinergia con otras convenciones</w:t>
      </w:r>
    </w:p>
    <w:p w14:paraId="36A22A73" w14:textId="77777777" w:rsidR="00B06F4B" w:rsidRDefault="00B06F4B" w:rsidP="00B06F4B">
      <w:pPr>
        <w:spacing w:line="240" w:lineRule="auto"/>
        <w:contextualSpacing/>
        <w:rPr>
          <w:rFonts w:ascii="Times New Roman" w:eastAsia="SimSun" w:hAnsi="Times New Roman"/>
          <w:lang w:val="es-ES" w:eastAsia="es-MX"/>
        </w:rPr>
      </w:pPr>
    </w:p>
    <w:p w14:paraId="06433CCC" w14:textId="77777777" w:rsidR="00B06F4B" w:rsidRDefault="00B06F4B" w:rsidP="00B06F4B">
      <w:pPr>
        <w:autoSpaceDE w:val="0"/>
        <w:autoSpaceDN w:val="0"/>
        <w:adjustRightInd w:val="0"/>
        <w:spacing w:after="0" w:line="240" w:lineRule="auto"/>
        <w:ind w:firstLine="720"/>
        <w:jc w:val="both"/>
        <w:rPr>
          <w:rFonts w:ascii="Times New Roman" w:eastAsia="SimSun" w:hAnsi="Times New Roman"/>
          <w:lang w:val="es-ES" w:eastAsia="es-MX"/>
        </w:rPr>
      </w:pPr>
      <w:r>
        <w:rPr>
          <w:rFonts w:ascii="Times New Roman" w:eastAsia="SimSun" w:hAnsi="Times New Roman"/>
          <w:lang w:val="es-ES" w:eastAsia="es-MX"/>
        </w:rPr>
        <w:t xml:space="preserve">La finalidad del primer panel de la Conferencia es promover un diálogo abierto sobre la pertinencia de la CITAAC como </w:t>
      </w:r>
      <w:r>
        <w:rPr>
          <w:rFonts w:ascii="Times New Roman" w:hAnsi="Times New Roman"/>
          <w:lang w:val="es-ES"/>
        </w:rPr>
        <w:t>herramienta</w:t>
      </w:r>
      <w:r>
        <w:rPr>
          <w:rFonts w:ascii="Times New Roman" w:eastAsia="SimSun" w:hAnsi="Times New Roman"/>
          <w:lang w:val="es-ES" w:eastAsia="es-MX"/>
        </w:rPr>
        <w:t xml:space="preserve"> regional y como complemento de las demás convenciones y mecanismos en la materia. Se considerarán las lecciones aprendidas y los procesos de colaboración que podrían instaurarse para aumentar la observancia de todos estos instrumentos. </w:t>
      </w:r>
    </w:p>
    <w:p w14:paraId="5C80085E" w14:textId="77777777" w:rsidR="00B06F4B" w:rsidRDefault="00B06F4B" w:rsidP="00B06F4B">
      <w:pPr>
        <w:spacing w:line="240" w:lineRule="auto"/>
        <w:contextualSpacing/>
        <w:jc w:val="both"/>
        <w:rPr>
          <w:rFonts w:ascii="Times New Roman" w:eastAsia="SimSun" w:hAnsi="Times New Roman"/>
          <w:lang w:val="es-ES" w:eastAsia="es-MX"/>
        </w:rPr>
      </w:pPr>
    </w:p>
    <w:p w14:paraId="36CDE912" w14:textId="77777777" w:rsidR="00B06F4B" w:rsidRDefault="00B06F4B" w:rsidP="00B06F4B">
      <w:pPr>
        <w:autoSpaceDE w:val="0"/>
        <w:autoSpaceDN w:val="0"/>
        <w:adjustRightInd w:val="0"/>
        <w:spacing w:after="0" w:line="240" w:lineRule="auto"/>
        <w:ind w:firstLine="720"/>
        <w:jc w:val="both"/>
        <w:rPr>
          <w:rFonts w:ascii="Times New Roman" w:eastAsia="SimSun" w:hAnsi="Times New Roman"/>
          <w:lang w:val="es-ES" w:eastAsia="es-MX"/>
        </w:rPr>
      </w:pPr>
      <w:r>
        <w:rPr>
          <w:rFonts w:ascii="Times New Roman" w:eastAsia="SimSun" w:hAnsi="Times New Roman"/>
          <w:lang w:val="es-ES" w:eastAsia="es-MX"/>
        </w:rPr>
        <w:t>En las Naciones Unidas, en particular, hay dos instrumentos principales para promover la transparencia de las transferencias de armas convencionales:</w:t>
      </w:r>
    </w:p>
    <w:p w14:paraId="14733919" w14:textId="77777777" w:rsidR="00B06F4B" w:rsidRDefault="00B06F4B" w:rsidP="00B06F4B">
      <w:pPr>
        <w:autoSpaceDE w:val="0"/>
        <w:autoSpaceDN w:val="0"/>
        <w:adjustRightInd w:val="0"/>
        <w:spacing w:after="0" w:line="240" w:lineRule="auto"/>
        <w:jc w:val="both"/>
        <w:rPr>
          <w:rFonts w:ascii="Times New Roman" w:eastAsia="SimSun" w:hAnsi="Times New Roman"/>
          <w:lang w:val="es-ES" w:eastAsia="es-MX"/>
        </w:rPr>
      </w:pPr>
    </w:p>
    <w:p w14:paraId="23623A97" w14:textId="77777777" w:rsidR="00B06F4B" w:rsidRDefault="00B06F4B" w:rsidP="00B06F4B">
      <w:pPr>
        <w:pStyle w:val="ListParagraph"/>
        <w:numPr>
          <w:ilvl w:val="0"/>
          <w:numId w:val="44"/>
        </w:numPr>
        <w:spacing w:after="160" w:line="240" w:lineRule="auto"/>
        <w:ind w:left="1080"/>
        <w:jc w:val="both"/>
        <w:rPr>
          <w:rFonts w:ascii="Times New Roman" w:hAnsi="Times New Roman"/>
          <w:lang w:val="es-ES"/>
        </w:rPr>
      </w:pPr>
      <w:r>
        <w:rPr>
          <w:rFonts w:ascii="Times New Roman" w:hAnsi="Times New Roman"/>
          <w:lang w:val="es-US"/>
        </w:rPr>
        <w:t>Registro de Armas Convencionales de las Naciones Unidas</w:t>
      </w:r>
      <w:r>
        <w:rPr>
          <w:rFonts w:ascii="Times New Roman" w:hAnsi="Times New Roman"/>
          <w:lang w:val="es-ES"/>
        </w:rPr>
        <w:t>: Este registro, creado en 1991 por la Asamblea General de las Naciones Unidas, es un mecanismo para la presentación de informes anuales por medio del cual los gobiernos intercambian información sobre las transferencias de armas realizadas el año anterior. Hay dos tipos de informes: uno se refiere a las transferencias en siete categorías predefinidas de armas pesadas y armas pequeñas (“7+1”), y el otro contiene información adicional sobre antecedentes, las tenencias actuales de armas y las armas adquiridas por medio de la producción nacional.</w:t>
      </w:r>
    </w:p>
    <w:p w14:paraId="0A6E89C7" w14:textId="77777777" w:rsidR="00B06F4B" w:rsidRDefault="00B06F4B" w:rsidP="00B06F4B">
      <w:pPr>
        <w:pStyle w:val="ListParagraph"/>
        <w:spacing w:after="160" w:line="240" w:lineRule="auto"/>
        <w:ind w:left="0"/>
        <w:jc w:val="both"/>
        <w:rPr>
          <w:rFonts w:ascii="Times New Roman" w:hAnsi="Times New Roman"/>
          <w:lang w:val="es-ES"/>
        </w:rPr>
      </w:pPr>
    </w:p>
    <w:p w14:paraId="4DA83F61" w14:textId="77777777" w:rsidR="00B06F4B" w:rsidRDefault="00B06F4B" w:rsidP="00B06F4B">
      <w:pPr>
        <w:pStyle w:val="ListParagraph"/>
        <w:numPr>
          <w:ilvl w:val="0"/>
          <w:numId w:val="44"/>
        </w:numPr>
        <w:spacing w:after="160" w:line="240" w:lineRule="auto"/>
        <w:ind w:left="1080"/>
        <w:jc w:val="both"/>
        <w:rPr>
          <w:rFonts w:ascii="Times New Roman" w:hAnsi="Times New Roman"/>
          <w:lang w:val="es-ES"/>
        </w:rPr>
      </w:pPr>
      <w:r>
        <w:rPr>
          <w:rFonts w:ascii="Times New Roman" w:hAnsi="Times New Roman"/>
          <w:lang w:val="es-ES"/>
        </w:rPr>
        <w:t xml:space="preserve">Tratado sobre el Comercio de Armas (TCA): El TCA es un tratado internacional que entró en vigor en 2014 con el fin de regular el comercio internacional de armas convencionales y prevenir y erradicar el comercio ilícito y la desviación de armas convencionales, mediante el establecimiento de normas internacionales que rigen las transferencias de armas, entre ellas la presentación de informes anuales. De los 17 </w:t>
      </w:r>
      <w:proofErr w:type="gramStart"/>
      <w:r>
        <w:rPr>
          <w:rFonts w:ascii="Times New Roman" w:hAnsi="Times New Roman"/>
          <w:lang w:val="es-ES"/>
        </w:rPr>
        <w:t>Estados Partes</w:t>
      </w:r>
      <w:proofErr w:type="gramEnd"/>
      <w:r>
        <w:rPr>
          <w:rFonts w:ascii="Times New Roman" w:hAnsi="Times New Roman"/>
          <w:lang w:val="es-ES"/>
        </w:rPr>
        <w:t xml:space="preserve"> de la CITAAC, 14 han ratificado el TCA. </w:t>
      </w:r>
    </w:p>
    <w:p w14:paraId="4A944CE5"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Se invitará a representantes de estos órganos a participar en el panel para describir el estado de los instrumentos y de los informes presentados, a fin de buscar estrategias comunes para colaborar y apoyar a los países. En el panel se examinarán también otras formas de colaboración entre convenciones regionales de otras partes del mundo y del sistema universal como modelos que la CITAAC pueda seguir. </w:t>
      </w:r>
    </w:p>
    <w:p w14:paraId="3656D32B" w14:textId="77777777" w:rsidR="00B06F4B" w:rsidRDefault="00B06F4B" w:rsidP="00B06F4B">
      <w:pPr>
        <w:spacing w:line="240" w:lineRule="auto"/>
        <w:contextualSpacing/>
        <w:jc w:val="both"/>
        <w:rPr>
          <w:rFonts w:ascii="Times New Roman" w:eastAsia="SimSun" w:hAnsi="Times New Roman"/>
          <w:lang w:val="es-ES" w:eastAsia="es-MX"/>
        </w:rPr>
      </w:pPr>
    </w:p>
    <w:p w14:paraId="3BEFFAA1"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Cada panelista tendrá doce (12) minutos para su intervención, seguidos de veinte (20) minutos de diálogo con los representantes de los </w:t>
      </w:r>
      <w:proofErr w:type="gramStart"/>
      <w:r>
        <w:rPr>
          <w:rFonts w:ascii="Times New Roman" w:eastAsia="SimSun" w:hAnsi="Times New Roman"/>
          <w:lang w:val="es-ES" w:eastAsia="es-MX"/>
        </w:rPr>
        <w:t>Estados Partes</w:t>
      </w:r>
      <w:proofErr w:type="gramEnd"/>
      <w:r>
        <w:rPr>
          <w:rFonts w:ascii="Times New Roman" w:eastAsia="SimSun" w:hAnsi="Times New Roman"/>
          <w:lang w:val="es-ES" w:eastAsia="es-MX"/>
        </w:rPr>
        <w:t xml:space="preserve"> y los demás participantes en la reunión. </w:t>
      </w:r>
    </w:p>
    <w:p w14:paraId="006EBC72" w14:textId="77777777" w:rsidR="00B06F4B" w:rsidRDefault="00B06F4B" w:rsidP="00B06F4B">
      <w:pPr>
        <w:spacing w:line="240" w:lineRule="auto"/>
        <w:contextualSpacing/>
        <w:jc w:val="both"/>
        <w:rPr>
          <w:rFonts w:ascii="Times New Roman" w:eastAsia="SimSun" w:hAnsi="Times New Roman"/>
          <w:bCs/>
          <w:lang w:val="es-ES" w:eastAsia="es-MX"/>
        </w:rPr>
      </w:pPr>
    </w:p>
    <w:p w14:paraId="33401F9B" w14:textId="77777777" w:rsidR="00B06F4B" w:rsidRDefault="00B06F4B" w:rsidP="00B06F4B">
      <w:pPr>
        <w:keepNext/>
        <w:spacing w:after="0" w:line="240" w:lineRule="auto"/>
        <w:jc w:val="both"/>
        <w:rPr>
          <w:rFonts w:ascii="Times New Roman" w:hAnsi="Times New Roman"/>
          <w:b/>
          <w:bCs/>
          <w:lang w:val="es-ES"/>
        </w:rPr>
      </w:pPr>
      <w:r>
        <w:rPr>
          <w:rFonts w:ascii="Times New Roman" w:hAnsi="Times New Roman"/>
          <w:b/>
          <w:bCs/>
          <w:lang w:val="es-ES"/>
        </w:rPr>
        <w:t xml:space="preserve">TEMA 2. Medidas ulteriores de </w:t>
      </w:r>
      <w:r>
        <w:rPr>
          <w:rFonts w:ascii="Times New Roman" w:hAnsi="Times New Roman"/>
          <w:b/>
          <w:lang w:val="es-ES" w:eastAsia="ja-JP"/>
        </w:rPr>
        <w:t>transparencia y pertinencia de la CITAAC para el sistema interamericano</w:t>
      </w:r>
    </w:p>
    <w:p w14:paraId="3E094E02" w14:textId="77777777" w:rsidR="00B06F4B" w:rsidRDefault="00B06F4B" w:rsidP="00B06F4B">
      <w:pPr>
        <w:keepNext/>
        <w:spacing w:after="0" w:line="240" w:lineRule="auto"/>
        <w:jc w:val="both"/>
        <w:rPr>
          <w:rFonts w:ascii="Times New Roman" w:hAnsi="Times New Roman"/>
          <w:b/>
          <w:bCs/>
          <w:lang w:val="es-ES"/>
        </w:rPr>
      </w:pPr>
    </w:p>
    <w:p w14:paraId="060279C2"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El segundo panel temático considerará la relación entre la CITAAC y las medidas de fomento de la confianza y la seguridad. En el sistema interamericano, la lista consolidada de medidas de fomento de la confianza y la seguridad aprobada por la Asamblea General contiene dos medidas que están estrechamente relacionadas con la Convención:</w:t>
      </w:r>
    </w:p>
    <w:p w14:paraId="2805CD29" w14:textId="77777777" w:rsidR="00B06F4B" w:rsidRDefault="00B06F4B" w:rsidP="00B06F4B">
      <w:pPr>
        <w:pStyle w:val="ListParagraph"/>
        <w:numPr>
          <w:ilvl w:val="0"/>
          <w:numId w:val="44"/>
        </w:numPr>
        <w:spacing w:after="160" w:line="240" w:lineRule="auto"/>
        <w:ind w:left="1080"/>
        <w:jc w:val="both"/>
        <w:rPr>
          <w:rFonts w:ascii="Times New Roman" w:hAnsi="Times New Roman"/>
          <w:lang w:val="es-ES"/>
        </w:rPr>
      </w:pPr>
      <w:r>
        <w:rPr>
          <w:rFonts w:ascii="Times New Roman" w:hAnsi="Times New Roman"/>
          <w:lang w:val="es-ES"/>
        </w:rPr>
        <w:lastRenderedPageBreak/>
        <w:t>Medida 7: Participar en el Registro de Armas Convencionales de las Naciones Unidas, incluyendo el suministro e intercambio de información sobre producción nacional de armas convencionales.</w:t>
      </w:r>
    </w:p>
    <w:p w14:paraId="019C74E4" w14:textId="77777777" w:rsidR="00B06F4B" w:rsidRDefault="00B06F4B" w:rsidP="00B06F4B">
      <w:pPr>
        <w:pStyle w:val="ListParagraph"/>
        <w:numPr>
          <w:ilvl w:val="0"/>
          <w:numId w:val="44"/>
        </w:numPr>
        <w:spacing w:after="160" w:line="240" w:lineRule="auto"/>
        <w:ind w:left="1080"/>
        <w:jc w:val="both"/>
        <w:rPr>
          <w:rFonts w:ascii="Times New Roman" w:hAnsi="Times New Roman"/>
          <w:lang w:val="es-ES"/>
        </w:rPr>
      </w:pPr>
      <w:r>
        <w:rPr>
          <w:rFonts w:ascii="Times New Roman" w:hAnsi="Times New Roman"/>
          <w:lang w:val="es-ES"/>
        </w:rPr>
        <w:t xml:space="preserve">Medida 22: </w:t>
      </w:r>
      <w:r>
        <w:rPr>
          <w:rFonts w:ascii="Times New Roman" w:hAnsi="Times New Roman"/>
          <w:lang w:val="es-US"/>
        </w:rPr>
        <w:t>Firmar, ratificar e implementar la Convención Interamericana sobre Transparencia en las Adquisiciones de Armas Convencionales</w:t>
      </w:r>
      <w:r>
        <w:rPr>
          <w:rFonts w:ascii="Times New Roman" w:hAnsi="Times New Roman"/>
          <w:lang w:val="es-ES"/>
        </w:rPr>
        <w:t xml:space="preserve"> (CITAAC). </w:t>
      </w:r>
    </w:p>
    <w:p w14:paraId="6A3CFDE1"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Por consiguiente, los panelistas abordarán los nexos de la CITAAC y la transparencia a fin de aportar ideas para el diálogo de los </w:t>
      </w:r>
      <w:proofErr w:type="gramStart"/>
      <w:r>
        <w:rPr>
          <w:rFonts w:ascii="Times New Roman" w:eastAsia="SimSun" w:hAnsi="Times New Roman"/>
          <w:lang w:val="es-ES" w:eastAsia="es-MX"/>
        </w:rPr>
        <w:t>Estados Partes</w:t>
      </w:r>
      <w:proofErr w:type="gramEnd"/>
      <w:r>
        <w:rPr>
          <w:rFonts w:ascii="Times New Roman" w:eastAsia="SimSun" w:hAnsi="Times New Roman"/>
          <w:lang w:val="es-ES" w:eastAsia="es-MX"/>
        </w:rPr>
        <w:t xml:space="preserve"> sobre medidas ulteriores de transparencia, de acuerdo con el artículo VIII de la Convención. </w:t>
      </w:r>
    </w:p>
    <w:p w14:paraId="40E4A3A4" w14:textId="77777777" w:rsidR="00B06F4B" w:rsidRDefault="00B06F4B" w:rsidP="00B06F4B">
      <w:pPr>
        <w:spacing w:after="0" w:line="240" w:lineRule="auto"/>
        <w:jc w:val="both"/>
        <w:rPr>
          <w:rFonts w:ascii="Times New Roman" w:eastAsia="SimSun" w:hAnsi="Times New Roman"/>
          <w:lang w:val="es-ES" w:eastAsia="es-MX"/>
        </w:rPr>
      </w:pPr>
    </w:p>
    <w:p w14:paraId="1E669609"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En este panel se examinará también la complementariedad de la CITAAC y otras convenciones del sistema interamericano, en particular la Convención Interamericana contra la Fabricación y el Tráfico Ilícitos de Armas de Fuego, Municiones, Explosivos y Otros Materiales Relacionados (CIFTA).</w:t>
      </w:r>
    </w:p>
    <w:p w14:paraId="6096875F" w14:textId="77777777" w:rsidR="00B06F4B" w:rsidRDefault="00B06F4B" w:rsidP="00B06F4B">
      <w:pPr>
        <w:spacing w:after="0" w:line="240" w:lineRule="auto"/>
        <w:jc w:val="both"/>
        <w:rPr>
          <w:rFonts w:ascii="Times New Roman" w:eastAsia="SimSun" w:hAnsi="Times New Roman"/>
          <w:lang w:val="es-ES" w:eastAsia="es-MX"/>
        </w:rPr>
      </w:pPr>
    </w:p>
    <w:p w14:paraId="09D438E2" w14:textId="77777777" w:rsidR="00B06F4B" w:rsidRDefault="00B06F4B" w:rsidP="00B06F4B">
      <w:pPr>
        <w:spacing w:line="240" w:lineRule="auto"/>
        <w:ind w:firstLine="720"/>
        <w:contextualSpacing/>
        <w:jc w:val="both"/>
        <w:rPr>
          <w:rFonts w:ascii="Times New Roman" w:hAnsi="Times New Roman"/>
          <w:lang w:val="es-ES"/>
        </w:rPr>
      </w:pPr>
      <w:r>
        <w:rPr>
          <w:rFonts w:ascii="Times New Roman" w:hAnsi="Times New Roman"/>
          <w:lang w:val="es-ES"/>
        </w:rPr>
        <w:t xml:space="preserve">Cada panelista </w:t>
      </w:r>
      <w:r>
        <w:rPr>
          <w:rFonts w:ascii="Times New Roman" w:eastAsia="SimSun" w:hAnsi="Times New Roman"/>
          <w:lang w:val="es-ES" w:eastAsia="es-MX"/>
        </w:rPr>
        <w:t>tendrá</w:t>
      </w:r>
      <w:r>
        <w:rPr>
          <w:rFonts w:ascii="Times New Roman" w:hAnsi="Times New Roman"/>
          <w:lang w:val="es-ES"/>
        </w:rPr>
        <w:t xml:space="preserve"> diez (10) minutos para su intervención, seguidos de quince (15) minutos de diálogo con los representantes de los </w:t>
      </w:r>
      <w:proofErr w:type="gramStart"/>
      <w:r>
        <w:rPr>
          <w:rFonts w:ascii="Times New Roman" w:hAnsi="Times New Roman"/>
          <w:lang w:val="es-ES"/>
        </w:rPr>
        <w:t>Estados Partes</w:t>
      </w:r>
      <w:proofErr w:type="gramEnd"/>
      <w:r>
        <w:rPr>
          <w:rFonts w:ascii="Times New Roman" w:hAnsi="Times New Roman"/>
          <w:lang w:val="es-ES"/>
        </w:rPr>
        <w:t xml:space="preserve"> que estén presentes en la reunión.</w:t>
      </w:r>
    </w:p>
    <w:p w14:paraId="2D96E2C3" w14:textId="77777777" w:rsidR="00B06F4B" w:rsidRDefault="00B06F4B" w:rsidP="00B06F4B">
      <w:pPr>
        <w:spacing w:after="0" w:line="240" w:lineRule="auto"/>
        <w:jc w:val="both"/>
        <w:rPr>
          <w:rFonts w:ascii="Times New Roman" w:hAnsi="Times New Roman"/>
          <w:bCs/>
          <w:lang w:val="es-ES"/>
        </w:rPr>
      </w:pPr>
    </w:p>
    <w:p w14:paraId="10861036" w14:textId="77777777" w:rsidR="00B06F4B" w:rsidRDefault="00B06F4B" w:rsidP="00B06F4B">
      <w:pPr>
        <w:spacing w:after="0" w:line="240" w:lineRule="auto"/>
        <w:jc w:val="both"/>
        <w:rPr>
          <w:rFonts w:ascii="Times New Roman" w:hAnsi="Times New Roman"/>
          <w:b/>
          <w:lang w:val="es-ES"/>
        </w:rPr>
      </w:pPr>
      <w:r>
        <w:rPr>
          <w:rFonts w:ascii="Times New Roman" w:hAnsi="Times New Roman"/>
          <w:b/>
          <w:lang w:val="es-ES"/>
        </w:rPr>
        <w:t>TEMA 3. Dificultades y oportunidades relacionadas con la presentación de informes</w:t>
      </w:r>
    </w:p>
    <w:p w14:paraId="02289208" w14:textId="77777777" w:rsidR="00B06F4B" w:rsidRDefault="00B06F4B" w:rsidP="00B06F4B">
      <w:pPr>
        <w:spacing w:after="0" w:line="240" w:lineRule="auto"/>
        <w:jc w:val="both"/>
        <w:rPr>
          <w:rFonts w:ascii="Times New Roman" w:hAnsi="Times New Roman"/>
          <w:highlight w:val="yellow"/>
          <w:lang w:val="es-ES"/>
        </w:rPr>
      </w:pPr>
    </w:p>
    <w:p w14:paraId="6976E909"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El tercer panel es de índole técnica y operacional. Su finalidad es promover un diálogo abierto sobre las dificultades y las oportunidades relacionadas con los informes anuales de la CITAAC. La presentación de informes a la CITAAC ha disminuido con el tiempo. Esta cuestión persistente se abordó en reuniones anteriores de los </w:t>
      </w:r>
      <w:proofErr w:type="gramStart"/>
      <w:r>
        <w:rPr>
          <w:rFonts w:ascii="Times New Roman" w:eastAsia="SimSun" w:hAnsi="Times New Roman"/>
          <w:lang w:val="es-ES" w:eastAsia="es-MX"/>
        </w:rPr>
        <w:t>Estados Partes</w:t>
      </w:r>
      <w:proofErr w:type="gramEnd"/>
      <w:r>
        <w:rPr>
          <w:rFonts w:ascii="Times New Roman" w:eastAsia="SimSun" w:hAnsi="Times New Roman"/>
          <w:lang w:val="es-ES" w:eastAsia="es-MX"/>
        </w:rPr>
        <w:t>, en las cuales se formularon las siguientes sugerencias:</w:t>
      </w:r>
    </w:p>
    <w:p w14:paraId="11D6FDF4" w14:textId="77777777" w:rsidR="00B06F4B" w:rsidRDefault="00B06F4B" w:rsidP="00B06F4B">
      <w:pPr>
        <w:autoSpaceDE w:val="0"/>
        <w:autoSpaceDN w:val="0"/>
        <w:adjustRightInd w:val="0"/>
        <w:spacing w:after="0" w:line="240" w:lineRule="auto"/>
        <w:jc w:val="both"/>
        <w:rPr>
          <w:rFonts w:ascii="Times New Roman" w:eastAsia="SimSun" w:hAnsi="Times New Roman"/>
          <w:lang w:val="es-ES" w:eastAsia="es-MX"/>
        </w:rPr>
      </w:pPr>
    </w:p>
    <w:p w14:paraId="7FD93189" w14:textId="77777777" w:rsidR="00B06F4B" w:rsidRDefault="00B06F4B" w:rsidP="00B06F4B">
      <w:pPr>
        <w:pStyle w:val="ListParagraph"/>
        <w:numPr>
          <w:ilvl w:val="0"/>
          <w:numId w:val="44"/>
        </w:numPr>
        <w:autoSpaceDE w:val="0"/>
        <w:autoSpaceDN w:val="0"/>
        <w:adjustRightInd w:val="0"/>
        <w:spacing w:after="0" w:line="240" w:lineRule="auto"/>
        <w:ind w:left="1080"/>
        <w:jc w:val="both"/>
        <w:rPr>
          <w:rFonts w:ascii="Times New Roman" w:hAnsi="Times New Roman"/>
          <w:lang w:val="es-ES"/>
        </w:rPr>
      </w:pPr>
      <w:r>
        <w:rPr>
          <w:rFonts w:ascii="Times New Roman" w:hAnsi="Times New Roman"/>
          <w:lang w:val="es-ES"/>
        </w:rPr>
        <w:t>designar puntos de contacto nacionales encargados de la presentación de los informes;</w:t>
      </w:r>
    </w:p>
    <w:p w14:paraId="4A4E41F1" w14:textId="77777777" w:rsidR="00B06F4B" w:rsidRDefault="00B06F4B" w:rsidP="00B06F4B">
      <w:pPr>
        <w:pStyle w:val="ListParagraph"/>
        <w:numPr>
          <w:ilvl w:val="0"/>
          <w:numId w:val="44"/>
        </w:numPr>
        <w:autoSpaceDE w:val="0"/>
        <w:autoSpaceDN w:val="0"/>
        <w:adjustRightInd w:val="0"/>
        <w:spacing w:after="0" w:line="240" w:lineRule="auto"/>
        <w:ind w:left="1080"/>
        <w:jc w:val="both"/>
        <w:rPr>
          <w:rFonts w:ascii="Times New Roman" w:hAnsi="Times New Roman"/>
          <w:lang w:val="es-ES"/>
        </w:rPr>
      </w:pPr>
      <w:r>
        <w:rPr>
          <w:rFonts w:ascii="Times New Roman" w:hAnsi="Times New Roman"/>
          <w:lang w:val="es-ES"/>
        </w:rPr>
        <w:t>establecer una base electrónica de datos para facilitar la presentación de los informes y el acceso a datos consolidados sobre las transferencias;</w:t>
      </w:r>
    </w:p>
    <w:p w14:paraId="3744870E" w14:textId="77777777" w:rsidR="00B06F4B" w:rsidRDefault="00B06F4B" w:rsidP="00B06F4B">
      <w:pPr>
        <w:pStyle w:val="ListParagraph"/>
        <w:numPr>
          <w:ilvl w:val="0"/>
          <w:numId w:val="44"/>
        </w:numPr>
        <w:autoSpaceDE w:val="0"/>
        <w:autoSpaceDN w:val="0"/>
        <w:adjustRightInd w:val="0"/>
        <w:spacing w:after="0" w:line="240" w:lineRule="auto"/>
        <w:ind w:left="1080"/>
        <w:jc w:val="both"/>
        <w:rPr>
          <w:rFonts w:ascii="Times New Roman" w:hAnsi="Times New Roman"/>
          <w:lang w:val="es-ES"/>
        </w:rPr>
      </w:pPr>
      <w:r>
        <w:rPr>
          <w:rFonts w:ascii="Times New Roman" w:hAnsi="Times New Roman"/>
          <w:lang w:val="es-ES"/>
        </w:rPr>
        <w:t>organizar talleres de sensibilización para los países;</w:t>
      </w:r>
    </w:p>
    <w:p w14:paraId="5AFDE905" w14:textId="77777777" w:rsidR="00B06F4B" w:rsidRDefault="00B06F4B" w:rsidP="00B06F4B">
      <w:pPr>
        <w:pStyle w:val="ListParagraph"/>
        <w:numPr>
          <w:ilvl w:val="0"/>
          <w:numId w:val="44"/>
        </w:numPr>
        <w:autoSpaceDE w:val="0"/>
        <w:autoSpaceDN w:val="0"/>
        <w:adjustRightInd w:val="0"/>
        <w:spacing w:after="0" w:line="240" w:lineRule="auto"/>
        <w:ind w:left="1080"/>
        <w:jc w:val="both"/>
        <w:rPr>
          <w:rFonts w:ascii="Times New Roman" w:hAnsi="Times New Roman"/>
          <w:lang w:val="es-ES"/>
        </w:rPr>
      </w:pPr>
      <w:r>
        <w:rPr>
          <w:rFonts w:ascii="Times New Roman" w:hAnsi="Times New Roman"/>
          <w:lang w:val="es-ES"/>
        </w:rPr>
        <w:t xml:space="preserve">integrar los informes de la CITAAC en los informes del sistema de las Naciones Unidas (por ejemplo, entregar a la OEA una copia de los informes para el </w:t>
      </w:r>
      <w:r>
        <w:rPr>
          <w:rFonts w:ascii="Times New Roman" w:hAnsi="Times New Roman"/>
          <w:lang w:val="es-US"/>
        </w:rPr>
        <w:t>Registro de Armas Convencionales de las Naciones Unidas</w:t>
      </w:r>
      <w:r>
        <w:rPr>
          <w:rFonts w:ascii="Times New Roman" w:hAnsi="Times New Roman"/>
          <w:lang w:val="es-ES"/>
        </w:rPr>
        <w:t>);</w:t>
      </w:r>
    </w:p>
    <w:p w14:paraId="59E142DA" w14:textId="77777777" w:rsidR="00B06F4B" w:rsidRDefault="00B06F4B" w:rsidP="00B06F4B">
      <w:pPr>
        <w:pStyle w:val="ListParagraph"/>
        <w:numPr>
          <w:ilvl w:val="0"/>
          <w:numId w:val="44"/>
        </w:numPr>
        <w:autoSpaceDE w:val="0"/>
        <w:autoSpaceDN w:val="0"/>
        <w:adjustRightInd w:val="0"/>
        <w:spacing w:after="0" w:line="240" w:lineRule="auto"/>
        <w:ind w:left="1080"/>
        <w:jc w:val="both"/>
        <w:rPr>
          <w:rFonts w:ascii="Times New Roman" w:hAnsi="Times New Roman"/>
          <w:lang w:val="es-ES"/>
        </w:rPr>
      </w:pPr>
      <w:r>
        <w:rPr>
          <w:rFonts w:ascii="Times New Roman" w:hAnsi="Times New Roman"/>
          <w:lang w:val="es-ES"/>
        </w:rPr>
        <w:t>eliminar la presentación de informes.</w:t>
      </w:r>
    </w:p>
    <w:p w14:paraId="31CE7D76" w14:textId="77777777" w:rsidR="00B06F4B" w:rsidRDefault="00B06F4B" w:rsidP="00B06F4B">
      <w:pPr>
        <w:autoSpaceDE w:val="0"/>
        <w:autoSpaceDN w:val="0"/>
        <w:adjustRightInd w:val="0"/>
        <w:spacing w:after="0" w:line="240" w:lineRule="auto"/>
        <w:jc w:val="both"/>
        <w:rPr>
          <w:rFonts w:ascii="Times New Roman" w:hAnsi="Times New Roman"/>
          <w:lang w:val="es-ES"/>
        </w:rPr>
      </w:pPr>
    </w:p>
    <w:p w14:paraId="59AFF0A8"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A fin de aportar ideas para el diálogo de los </w:t>
      </w:r>
      <w:proofErr w:type="gramStart"/>
      <w:r>
        <w:rPr>
          <w:rFonts w:ascii="Times New Roman" w:eastAsia="SimSun" w:hAnsi="Times New Roman"/>
          <w:lang w:val="es-ES" w:eastAsia="es-MX"/>
        </w:rPr>
        <w:t>Estados Partes</w:t>
      </w:r>
      <w:proofErr w:type="gramEnd"/>
      <w:r>
        <w:rPr>
          <w:rFonts w:ascii="Times New Roman" w:eastAsia="SimSun" w:hAnsi="Times New Roman"/>
          <w:lang w:val="es-ES" w:eastAsia="es-MX"/>
        </w:rPr>
        <w:t xml:space="preserve">, la Secretaría General de la OEA presentará una reseña inicial de los informes, con un análisis comparativo con los demás informes sobre el tema. Habrá expertos de los países que se referirán a las buenas prácticas empleadas para cumplir el requisito relativo a los informes. </w:t>
      </w:r>
    </w:p>
    <w:p w14:paraId="4DB0403C" w14:textId="77777777" w:rsidR="00B06F4B" w:rsidRDefault="00B06F4B" w:rsidP="00B06F4B">
      <w:pPr>
        <w:autoSpaceDE w:val="0"/>
        <w:autoSpaceDN w:val="0"/>
        <w:adjustRightInd w:val="0"/>
        <w:spacing w:after="0" w:line="240" w:lineRule="auto"/>
        <w:jc w:val="both"/>
        <w:rPr>
          <w:rFonts w:ascii="Times New Roman" w:eastAsia="SimSun" w:hAnsi="Times New Roman"/>
          <w:lang w:val="es-ES" w:eastAsia="es-MX"/>
        </w:rPr>
      </w:pPr>
    </w:p>
    <w:p w14:paraId="7D9D2A84" w14:textId="77777777" w:rsidR="00B06F4B" w:rsidRDefault="00B06F4B" w:rsidP="00B06F4B">
      <w:pPr>
        <w:spacing w:line="240" w:lineRule="auto"/>
        <w:ind w:firstLine="720"/>
        <w:contextualSpacing/>
        <w:jc w:val="both"/>
        <w:rPr>
          <w:rFonts w:ascii="Times New Roman" w:eastAsia="SimSun" w:hAnsi="Times New Roman"/>
          <w:lang w:val="es-ES" w:eastAsia="es-MX"/>
        </w:rPr>
      </w:pPr>
      <w:r>
        <w:rPr>
          <w:rFonts w:ascii="Times New Roman" w:eastAsia="SimSun" w:hAnsi="Times New Roman"/>
          <w:lang w:val="es-ES" w:eastAsia="es-MX"/>
        </w:rPr>
        <w:t xml:space="preserve">Cada panelista tendrá diez (10) minutos para su intervención, seguidos de veinte (20) minutos de diálogo con los representantes de los </w:t>
      </w:r>
      <w:proofErr w:type="gramStart"/>
      <w:r>
        <w:rPr>
          <w:rFonts w:ascii="Times New Roman" w:eastAsia="SimSun" w:hAnsi="Times New Roman"/>
          <w:lang w:val="es-ES" w:eastAsia="es-MX"/>
        </w:rPr>
        <w:t>Estados Partes</w:t>
      </w:r>
      <w:proofErr w:type="gramEnd"/>
      <w:r>
        <w:rPr>
          <w:rFonts w:ascii="Times New Roman" w:eastAsia="SimSun" w:hAnsi="Times New Roman"/>
          <w:lang w:val="es-ES" w:eastAsia="es-MX"/>
        </w:rPr>
        <w:t xml:space="preserve"> que estén presentes en la reunión, para buscar soluciones comunes y estrategias prácticas que la Secretaría Técnica pueda utilizar con el objetivo de facilitar la presentación de los informes.</w:t>
      </w:r>
    </w:p>
    <w:p w14:paraId="1174F94D" w14:textId="600EDF72" w:rsidR="00B06F4B" w:rsidRDefault="00B06F4B" w:rsidP="00B06F4B">
      <w:pPr>
        <w:spacing w:after="160" w:line="240" w:lineRule="auto"/>
        <w:rPr>
          <w:rFonts w:ascii="Times New Roman" w:eastAsia="SimSun" w:hAnsi="Times New Roman"/>
          <w:lang w:val="es-ES" w:eastAsia="es-MX"/>
        </w:rPr>
      </w:pPr>
      <w:r>
        <w:rPr>
          <w:noProof/>
        </w:rPr>
        <mc:AlternateContent>
          <mc:Choice Requires="wps">
            <w:drawing>
              <wp:anchor distT="0" distB="0" distL="114300" distR="114300" simplePos="0" relativeHeight="251659264" behindDoc="0" locked="1" layoutInCell="1" allowOverlap="1" wp14:anchorId="78B0C7CA" wp14:editId="02D9293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ED8785" w14:textId="6D7A9F8A" w:rsidR="00B06F4B" w:rsidRDefault="00B06F4B" w:rsidP="00B06F4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DPASP00133S05</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B0C7CA"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30ED8785" w14:textId="6D7A9F8A" w:rsidR="00B06F4B" w:rsidRDefault="00B06F4B" w:rsidP="00B06F4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DPASP00133S05</w:t>
                      </w:r>
                      <w:r>
                        <w:rPr>
                          <w:rFonts w:ascii="Times New Roman" w:hAnsi="Times New Roman"/>
                          <w:sz w:val="18"/>
                        </w:rPr>
                        <w:fldChar w:fldCharType="end"/>
                      </w:r>
                    </w:p>
                  </w:txbxContent>
                </v:textbox>
                <w10:wrap anchory="page"/>
                <w10:anchorlock/>
              </v:shape>
            </w:pict>
          </mc:Fallback>
        </mc:AlternateContent>
      </w:r>
    </w:p>
    <w:p w14:paraId="66A1F4DC" w14:textId="3BCB1350" w:rsidR="009009AF" w:rsidRPr="00B06F4B" w:rsidRDefault="009009AF" w:rsidP="00B06F4B">
      <w:pPr>
        <w:rPr>
          <w:lang w:val="es-ES"/>
        </w:rPr>
      </w:pPr>
    </w:p>
    <w:sectPr w:rsidR="009009AF" w:rsidRPr="00B06F4B" w:rsidSect="000964E3">
      <w:headerReference w:type="default" r:id="rId11"/>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3EAB" w14:textId="77777777" w:rsidR="00283E53" w:rsidRDefault="00283E53" w:rsidP="006070A3">
      <w:pPr>
        <w:spacing w:after="0" w:line="240" w:lineRule="auto"/>
      </w:pPr>
      <w:r>
        <w:separator/>
      </w:r>
    </w:p>
  </w:endnote>
  <w:endnote w:type="continuationSeparator" w:id="0">
    <w:p w14:paraId="7E052AAA" w14:textId="77777777" w:rsidR="00283E53" w:rsidRDefault="00283E53"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6F6" w14:textId="77777777" w:rsidR="00283E53" w:rsidRDefault="00283E53" w:rsidP="006070A3">
      <w:pPr>
        <w:spacing w:after="0" w:line="240" w:lineRule="auto"/>
      </w:pPr>
      <w:r>
        <w:separator/>
      </w:r>
    </w:p>
  </w:footnote>
  <w:footnote w:type="continuationSeparator" w:id="0">
    <w:p w14:paraId="776C61ED" w14:textId="77777777" w:rsidR="00283E53" w:rsidRDefault="00283E53"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CBF6" w14:textId="77777777" w:rsidR="00610D79" w:rsidRPr="00AC4321" w:rsidRDefault="00610D79">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F33720">
      <w:rPr>
        <w:rFonts w:ascii="Times New Roman" w:hAnsi="Times New Roman"/>
        <w:noProof/>
      </w:rPr>
      <w:t>5</w:t>
    </w:r>
    <w:r w:rsidRPr="00AC4321">
      <w:rPr>
        <w:rFonts w:ascii="Times New Roman" w:hAnsi="Times New Roman"/>
        <w:noProof/>
      </w:rPr>
      <w:fldChar w:fldCharType="end"/>
    </w:r>
    <w:r>
      <w:rPr>
        <w:rFonts w:ascii="Times New Roman" w:hAnsi="Times New Roman"/>
        <w:noProof/>
      </w:rPr>
      <w:t xml:space="preserve"> -</w:t>
    </w:r>
  </w:p>
  <w:p w14:paraId="46F080FF" w14:textId="77777777" w:rsidR="00610D79" w:rsidRDefault="0061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72B3033"/>
    <w:multiLevelType w:val="hybridMultilevel"/>
    <w:tmpl w:val="15E0A552"/>
    <w:lvl w:ilvl="0" w:tplc="1968F99C">
      <w:start w:val="1"/>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B18A0"/>
    <w:multiLevelType w:val="hybridMultilevel"/>
    <w:tmpl w:val="602C0EE2"/>
    <w:lvl w:ilvl="0" w:tplc="3546451A">
      <w:start w:val="3"/>
      <w:numFmt w:val="bullet"/>
      <w:lvlText w:val="-"/>
      <w:lvlJc w:val="left"/>
      <w:pPr>
        <w:ind w:left="1080" w:hanging="360"/>
      </w:pPr>
      <w:rPr>
        <w:rFonts w:ascii="Times New Roman" w:eastAsia="Batang"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8680A"/>
    <w:multiLevelType w:val="hybridMultilevel"/>
    <w:tmpl w:val="D52C9A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7D3911"/>
    <w:multiLevelType w:val="hybridMultilevel"/>
    <w:tmpl w:val="F66409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BA4AA2"/>
    <w:multiLevelType w:val="hybridMultilevel"/>
    <w:tmpl w:val="E5E41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A261E"/>
    <w:multiLevelType w:val="hybridMultilevel"/>
    <w:tmpl w:val="90268A04"/>
    <w:lvl w:ilvl="0" w:tplc="153C1310">
      <w:start w:val="3"/>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6A31738"/>
    <w:multiLevelType w:val="hybridMultilevel"/>
    <w:tmpl w:val="064E47AE"/>
    <w:lvl w:ilvl="0" w:tplc="595C71B8">
      <w:numFmt w:val="bullet"/>
      <w:lvlText w:val="-"/>
      <w:lvlJc w:val="left"/>
      <w:pPr>
        <w:ind w:left="720" w:hanging="360"/>
      </w:pPr>
      <w:rPr>
        <w:rFonts w:ascii="Century Gothic" w:eastAsia="Times New Roman" w:hAnsi="Century Gothic" w:cs="Open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E5A8F"/>
    <w:multiLevelType w:val="hybridMultilevel"/>
    <w:tmpl w:val="D106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D36CE"/>
    <w:multiLevelType w:val="hybridMultilevel"/>
    <w:tmpl w:val="8AB0F968"/>
    <w:lvl w:ilvl="0" w:tplc="8B76AE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322F1"/>
    <w:multiLevelType w:val="hybridMultilevel"/>
    <w:tmpl w:val="089A5426"/>
    <w:lvl w:ilvl="0" w:tplc="97EEEBF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17"/>
  </w:num>
  <w:num w:numId="8">
    <w:abstractNumId w:val="26"/>
  </w:num>
  <w:num w:numId="9">
    <w:abstractNumId w:val="12"/>
  </w:num>
  <w:num w:numId="10">
    <w:abstractNumId w:val="21"/>
  </w:num>
  <w:num w:numId="11">
    <w:abstractNumId w:val="35"/>
  </w:num>
  <w:num w:numId="12">
    <w:abstractNumId w:val="2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9"/>
  </w:num>
  <w:num w:numId="27">
    <w:abstractNumId w:val="32"/>
  </w:num>
  <w:num w:numId="28">
    <w:abstractNumId w:val="36"/>
  </w:num>
  <w:num w:numId="29">
    <w:abstractNumId w:val="30"/>
  </w:num>
  <w:num w:numId="30">
    <w:abstractNumId w:val="3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34"/>
  </w:num>
  <w:num w:numId="35">
    <w:abstractNumId w:val="33"/>
  </w:num>
  <w:num w:numId="36">
    <w:abstractNumId w:val="18"/>
  </w:num>
  <w:num w:numId="37">
    <w:abstractNumId w:val="16"/>
  </w:num>
  <w:num w:numId="38">
    <w:abstractNumId w:val="13"/>
  </w:num>
  <w:num w:numId="39">
    <w:abstractNumId w:val="22"/>
  </w:num>
  <w:num w:numId="40">
    <w:abstractNumId w:val="19"/>
  </w:num>
  <w:num w:numId="41">
    <w:abstractNumId w:val="11"/>
  </w:num>
  <w:num w:numId="42">
    <w:abstractNumId w:val="22"/>
    <w:lvlOverride w:ilvl="0"/>
    <w:lvlOverride w:ilvl="1"/>
    <w:lvlOverride w:ilvl="2"/>
    <w:lvlOverride w:ilvl="3"/>
    <w:lvlOverride w:ilvl="4"/>
    <w:lvlOverride w:ilvl="5"/>
    <w:lvlOverride w:ilvl="6"/>
    <w:lvlOverride w:ilvl="7"/>
    <w:lvlOverride w:ilvl="8"/>
  </w:num>
  <w:num w:numId="43">
    <w:abstractNumId w:val="13"/>
    <w:lvlOverride w:ilvl="0"/>
    <w:lvlOverride w:ilvl="1"/>
    <w:lvlOverride w:ilvl="2"/>
    <w:lvlOverride w:ilvl="3"/>
    <w:lvlOverride w:ilvl="4"/>
    <w:lvlOverride w:ilvl="5"/>
    <w:lvlOverride w:ilvl="6"/>
    <w:lvlOverride w:ilvl="7"/>
    <w:lvlOverride w:ilvl="8"/>
  </w:num>
  <w:num w:numId="44">
    <w:abstractNumId w:val="30"/>
    <w:lvlOverride w:ilvl="0"/>
    <w:lvlOverride w:ilvl="1"/>
    <w:lvlOverride w:ilvl="2"/>
    <w:lvlOverride w:ilvl="3"/>
    <w:lvlOverride w:ilvl="4"/>
    <w:lvlOverride w:ilvl="5"/>
    <w:lvlOverride w:ilvl="6"/>
    <w:lvlOverride w:ilvl="7"/>
    <w:lvlOverride w:ilvl="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tLQ0MDYBEkCgpKMUnFpcnJmfB1JgUgsAuo7gSSwAAAA="/>
  </w:docVars>
  <w:rsids>
    <w:rsidRoot w:val="00711AA0"/>
    <w:rsid w:val="00001C8D"/>
    <w:rsid w:val="0000254A"/>
    <w:rsid w:val="000221C2"/>
    <w:rsid w:val="000244EF"/>
    <w:rsid w:val="00025357"/>
    <w:rsid w:val="00025F7B"/>
    <w:rsid w:val="000306CB"/>
    <w:rsid w:val="00031CC3"/>
    <w:rsid w:val="000325B4"/>
    <w:rsid w:val="0003324D"/>
    <w:rsid w:val="00042B7E"/>
    <w:rsid w:val="00056EE7"/>
    <w:rsid w:val="000579C2"/>
    <w:rsid w:val="0007600A"/>
    <w:rsid w:val="00085219"/>
    <w:rsid w:val="00090DF2"/>
    <w:rsid w:val="00095C17"/>
    <w:rsid w:val="000964E3"/>
    <w:rsid w:val="000A1810"/>
    <w:rsid w:val="000A29E5"/>
    <w:rsid w:val="000A3436"/>
    <w:rsid w:val="000A6122"/>
    <w:rsid w:val="000A64AA"/>
    <w:rsid w:val="000A72D1"/>
    <w:rsid w:val="000B0303"/>
    <w:rsid w:val="000C1C8C"/>
    <w:rsid w:val="000C2CE2"/>
    <w:rsid w:val="000C41A9"/>
    <w:rsid w:val="000C72FD"/>
    <w:rsid w:val="000D065D"/>
    <w:rsid w:val="000D7367"/>
    <w:rsid w:val="000E15D6"/>
    <w:rsid w:val="000E1EEF"/>
    <w:rsid w:val="000F3748"/>
    <w:rsid w:val="00100773"/>
    <w:rsid w:val="00102ABF"/>
    <w:rsid w:val="00107193"/>
    <w:rsid w:val="0010727D"/>
    <w:rsid w:val="00112D79"/>
    <w:rsid w:val="001357F9"/>
    <w:rsid w:val="00137F88"/>
    <w:rsid w:val="00144C6A"/>
    <w:rsid w:val="00144E92"/>
    <w:rsid w:val="00152219"/>
    <w:rsid w:val="00156171"/>
    <w:rsid w:val="00156B6F"/>
    <w:rsid w:val="001661C6"/>
    <w:rsid w:val="00170A4F"/>
    <w:rsid w:val="00183260"/>
    <w:rsid w:val="001834E8"/>
    <w:rsid w:val="00192C2A"/>
    <w:rsid w:val="001A1C2D"/>
    <w:rsid w:val="001A317B"/>
    <w:rsid w:val="001A49A3"/>
    <w:rsid w:val="001A63E1"/>
    <w:rsid w:val="001B38EE"/>
    <w:rsid w:val="001D64F3"/>
    <w:rsid w:val="001F343E"/>
    <w:rsid w:val="00214582"/>
    <w:rsid w:val="002162E3"/>
    <w:rsid w:val="00216E07"/>
    <w:rsid w:val="00223878"/>
    <w:rsid w:val="00224C75"/>
    <w:rsid w:val="002329F8"/>
    <w:rsid w:val="002330FB"/>
    <w:rsid w:val="00245875"/>
    <w:rsid w:val="00245FCA"/>
    <w:rsid w:val="00247512"/>
    <w:rsid w:val="00247C4B"/>
    <w:rsid w:val="0025364F"/>
    <w:rsid w:val="00256109"/>
    <w:rsid w:val="002572C7"/>
    <w:rsid w:val="002615FE"/>
    <w:rsid w:val="0026479F"/>
    <w:rsid w:val="00266E5D"/>
    <w:rsid w:val="00277681"/>
    <w:rsid w:val="00282441"/>
    <w:rsid w:val="00282639"/>
    <w:rsid w:val="00283E53"/>
    <w:rsid w:val="002870A3"/>
    <w:rsid w:val="0029431C"/>
    <w:rsid w:val="00295914"/>
    <w:rsid w:val="002A1EC2"/>
    <w:rsid w:val="002A78AD"/>
    <w:rsid w:val="002B0499"/>
    <w:rsid w:val="002B6B3D"/>
    <w:rsid w:val="002C6227"/>
    <w:rsid w:val="002C669C"/>
    <w:rsid w:val="002D39EF"/>
    <w:rsid w:val="002D3CE8"/>
    <w:rsid w:val="002E3E1D"/>
    <w:rsid w:val="003006AE"/>
    <w:rsid w:val="003037EE"/>
    <w:rsid w:val="003048CB"/>
    <w:rsid w:val="00330C5C"/>
    <w:rsid w:val="003355AB"/>
    <w:rsid w:val="003401CB"/>
    <w:rsid w:val="00343CCF"/>
    <w:rsid w:val="00345863"/>
    <w:rsid w:val="003471FB"/>
    <w:rsid w:val="00356CF5"/>
    <w:rsid w:val="00363489"/>
    <w:rsid w:val="00367196"/>
    <w:rsid w:val="00367964"/>
    <w:rsid w:val="00371914"/>
    <w:rsid w:val="00382590"/>
    <w:rsid w:val="00387627"/>
    <w:rsid w:val="003916F5"/>
    <w:rsid w:val="00391832"/>
    <w:rsid w:val="00396835"/>
    <w:rsid w:val="003A24CA"/>
    <w:rsid w:val="003C0FD2"/>
    <w:rsid w:val="003C26F7"/>
    <w:rsid w:val="003C3C26"/>
    <w:rsid w:val="003C7F39"/>
    <w:rsid w:val="003D4A90"/>
    <w:rsid w:val="003D6646"/>
    <w:rsid w:val="003F1E30"/>
    <w:rsid w:val="00404591"/>
    <w:rsid w:val="00407DBA"/>
    <w:rsid w:val="00410885"/>
    <w:rsid w:val="00410AE4"/>
    <w:rsid w:val="00433AFA"/>
    <w:rsid w:val="00434560"/>
    <w:rsid w:val="0044271B"/>
    <w:rsid w:val="00445A82"/>
    <w:rsid w:val="00450ABE"/>
    <w:rsid w:val="00453E1B"/>
    <w:rsid w:val="004603C3"/>
    <w:rsid w:val="00470248"/>
    <w:rsid w:val="00472759"/>
    <w:rsid w:val="004913BC"/>
    <w:rsid w:val="00491829"/>
    <w:rsid w:val="00492D6A"/>
    <w:rsid w:val="00497338"/>
    <w:rsid w:val="004A2764"/>
    <w:rsid w:val="004A2BE4"/>
    <w:rsid w:val="004A39BE"/>
    <w:rsid w:val="004A7E4D"/>
    <w:rsid w:val="004B624C"/>
    <w:rsid w:val="004C3D29"/>
    <w:rsid w:val="004D5F6F"/>
    <w:rsid w:val="004E4F1B"/>
    <w:rsid w:val="004F2002"/>
    <w:rsid w:val="004F7C7F"/>
    <w:rsid w:val="0050702E"/>
    <w:rsid w:val="00510263"/>
    <w:rsid w:val="00513F78"/>
    <w:rsid w:val="0052474D"/>
    <w:rsid w:val="005248B6"/>
    <w:rsid w:val="00524A5F"/>
    <w:rsid w:val="005353EB"/>
    <w:rsid w:val="00540B0D"/>
    <w:rsid w:val="005460F5"/>
    <w:rsid w:val="00550D12"/>
    <w:rsid w:val="0057358A"/>
    <w:rsid w:val="00573BC8"/>
    <w:rsid w:val="00574BC8"/>
    <w:rsid w:val="005801FA"/>
    <w:rsid w:val="005813A1"/>
    <w:rsid w:val="0058452D"/>
    <w:rsid w:val="00595566"/>
    <w:rsid w:val="0059790C"/>
    <w:rsid w:val="005A5A85"/>
    <w:rsid w:val="005B36B4"/>
    <w:rsid w:val="005B57AD"/>
    <w:rsid w:val="005C1459"/>
    <w:rsid w:val="005C76EF"/>
    <w:rsid w:val="005F07C5"/>
    <w:rsid w:val="005F3081"/>
    <w:rsid w:val="006070A3"/>
    <w:rsid w:val="00610D79"/>
    <w:rsid w:val="00613C7B"/>
    <w:rsid w:val="00624475"/>
    <w:rsid w:val="00626BAE"/>
    <w:rsid w:val="00631F9F"/>
    <w:rsid w:val="00645E93"/>
    <w:rsid w:val="0066376B"/>
    <w:rsid w:val="0069639D"/>
    <w:rsid w:val="006C21BE"/>
    <w:rsid w:val="006C7C1D"/>
    <w:rsid w:val="006E4D39"/>
    <w:rsid w:val="006F5F9D"/>
    <w:rsid w:val="007021DA"/>
    <w:rsid w:val="0071083B"/>
    <w:rsid w:val="00710EF6"/>
    <w:rsid w:val="00711AA0"/>
    <w:rsid w:val="007125C9"/>
    <w:rsid w:val="0071759D"/>
    <w:rsid w:val="00723770"/>
    <w:rsid w:val="00726B14"/>
    <w:rsid w:val="00733A02"/>
    <w:rsid w:val="00734F80"/>
    <w:rsid w:val="007372A2"/>
    <w:rsid w:val="007442B5"/>
    <w:rsid w:val="00747980"/>
    <w:rsid w:val="007525C8"/>
    <w:rsid w:val="00754096"/>
    <w:rsid w:val="00763EE1"/>
    <w:rsid w:val="0076608C"/>
    <w:rsid w:val="0078321B"/>
    <w:rsid w:val="007840C1"/>
    <w:rsid w:val="0078537C"/>
    <w:rsid w:val="007A07D2"/>
    <w:rsid w:val="007A0926"/>
    <w:rsid w:val="007B0E73"/>
    <w:rsid w:val="007B0FE7"/>
    <w:rsid w:val="007B6AC9"/>
    <w:rsid w:val="007C1751"/>
    <w:rsid w:val="007C4EBC"/>
    <w:rsid w:val="007C516C"/>
    <w:rsid w:val="007D5E1A"/>
    <w:rsid w:val="007E0DE9"/>
    <w:rsid w:val="007E482E"/>
    <w:rsid w:val="007E5DE1"/>
    <w:rsid w:val="007E6892"/>
    <w:rsid w:val="007F0E31"/>
    <w:rsid w:val="007F4F7D"/>
    <w:rsid w:val="00801D8A"/>
    <w:rsid w:val="00805868"/>
    <w:rsid w:val="00807677"/>
    <w:rsid w:val="008109FD"/>
    <w:rsid w:val="008174E6"/>
    <w:rsid w:val="0082166A"/>
    <w:rsid w:val="00821FB1"/>
    <w:rsid w:val="00822505"/>
    <w:rsid w:val="00833049"/>
    <w:rsid w:val="00833BFE"/>
    <w:rsid w:val="00851C41"/>
    <w:rsid w:val="00856F94"/>
    <w:rsid w:val="00881250"/>
    <w:rsid w:val="00886D6B"/>
    <w:rsid w:val="00887C44"/>
    <w:rsid w:val="00895058"/>
    <w:rsid w:val="008A6EF2"/>
    <w:rsid w:val="008A7065"/>
    <w:rsid w:val="008A756B"/>
    <w:rsid w:val="008C053A"/>
    <w:rsid w:val="008C1153"/>
    <w:rsid w:val="008C2593"/>
    <w:rsid w:val="008C37B0"/>
    <w:rsid w:val="008C60D8"/>
    <w:rsid w:val="008D3A64"/>
    <w:rsid w:val="008D5238"/>
    <w:rsid w:val="008D5633"/>
    <w:rsid w:val="008F6792"/>
    <w:rsid w:val="009009AF"/>
    <w:rsid w:val="00903D0B"/>
    <w:rsid w:val="0090628A"/>
    <w:rsid w:val="00923F29"/>
    <w:rsid w:val="00936F18"/>
    <w:rsid w:val="00941367"/>
    <w:rsid w:val="009427D6"/>
    <w:rsid w:val="00946A75"/>
    <w:rsid w:val="0095633C"/>
    <w:rsid w:val="00963720"/>
    <w:rsid w:val="00982A11"/>
    <w:rsid w:val="00986241"/>
    <w:rsid w:val="00991A8F"/>
    <w:rsid w:val="00994F80"/>
    <w:rsid w:val="009A0231"/>
    <w:rsid w:val="009A250D"/>
    <w:rsid w:val="009A40B4"/>
    <w:rsid w:val="009B7847"/>
    <w:rsid w:val="009C1BE7"/>
    <w:rsid w:val="009C320B"/>
    <w:rsid w:val="009D7AB8"/>
    <w:rsid w:val="009E11C0"/>
    <w:rsid w:val="009F4AE0"/>
    <w:rsid w:val="009F614D"/>
    <w:rsid w:val="00A02143"/>
    <w:rsid w:val="00A06AB9"/>
    <w:rsid w:val="00A140A9"/>
    <w:rsid w:val="00A23F55"/>
    <w:rsid w:val="00A276C3"/>
    <w:rsid w:val="00A33B9D"/>
    <w:rsid w:val="00A46D33"/>
    <w:rsid w:val="00A549E1"/>
    <w:rsid w:val="00A554B6"/>
    <w:rsid w:val="00A65192"/>
    <w:rsid w:val="00A71DC6"/>
    <w:rsid w:val="00A75E05"/>
    <w:rsid w:val="00A90611"/>
    <w:rsid w:val="00A92F7B"/>
    <w:rsid w:val="00A938D3"/>
    <w:rsid w:val="00AA06D1"/>
    <w:rsid w:val="00AA390D"/>
    <w:rsid w:val="00AC4321"/>
    <w:rsid w:val="00AC56B1"/>
    <w:rsid w:val="00AC6B4B"/>
    <w:rsid w:val="00AD137C"/>
    <w:rsid w:val="00AD717F"/>
    <w:rsid w:val="00AE0412"/>
    <w:rsid w:val="00AE3134"/>
    <w:rsid w:val="00B02464"/>
    <w:rsid w:val="00B06F4B"/>
    <w:rsid w:val="00B071CC"/>
    <w:rsid w:val="00B1102B"/>
    <w:rsid w:val="00B13FAD"/>
    <w:rsid w:val="00B16701"/>
    <w:rsid w:val="00B172D0"/>
    <w:rsid w:val="00B175FC"/>
    <w:rsid w:val="00B24C1B"/>
    <w:rsid w:val="00B25B99"/>
    <w:rsid w:val="00B30CBB"/>
    <w:rsid w:val="00B31DA6"/>
    <w:rsid w:val="00B32CDE"/>
    <w:rsid w:val="00B34E6C"/>
    <w:rsid w:val="00B407BF"/>
    <w:rsid w:val="00B45511"/>
    <w:rsid w:val="00B50058"/>
    <w:rsid w:val="00B51A37"/>
    <w:rsid w:val="00B553C4"/>
    <w:rsid w:val="00B7041B"/>
    <w:rsid w:val="00B71472"/>
    <w:rsid w:val="00B715D1"/>
    <w:rsid w:val="00B71699"/>
    <w:rsid w:val="00B71F1E"/>
    <w:rsid w:val="00B73873"/>
    <w:rsid w:val="00B747A8"/>
    <w:rsid w:val="00B76C5B"/>
    <w:rsid w:val="00B7710C"/>
    <w:rsid w:val="00B837C6"/>
    <w:rsid w:val="00B83D83"/>
    <w:rsid w:val="00B86CE1"/>
    <w:rsid w:val="00B924AF"/>
    <w:rsid w:val="00B95D02"/>
    <w:rsid w:val="00BA2978"/>
    <w:rsid w:val="00BA2B15"/>
    <w:rsid w:val="00BB0377"/>
    <w:rsid w:val="00BB08BA"/>
    <w:rsid w:val="00BB2060"/>
    <w:rsid w:val="00BB4816"/>
    <w:rsid w:val="00BB5BA7"/>
    <w:rsid w:val="00BC757C"/>
    <w:rsid w:val="00BD3650"/>
    <w:rsid w:val="00BD3E99"/>
    <w:rsid w:val="00BE1479"/>
    <w:rsid w:val="00BF164F"/>
    <w:rsid w:val="00BF7FDB"/>
    <w:rsid w:val="00C04885"/>
    <w:rsid w:val="00C05E07"/>
    <w:rsid w:val="00C174BE"/>
    <w:rsid w:val="00C23E3A"/>
    <w:rsid w:val="00C33EF8"/>
    <w:rsid w:val="00C350E0"/>
    <w:rsid w:val="00C36087"/>
    <w:rsid w:val="00C51618"/>
    <w:rsid w:val="00C5461D"/>
    <w:rsid w:val="00C561FB"/>
    <w:rsid w:val="00C622A8"/>
    <w:rsid w:val="00C84171"/>
    <w:rsid w:val="00C84F28"/>
    <w:rsid w:val="00C85267"/>
    <w:rsid w:val="00C9380F"/>
    <w:rsid w:val="00CA00D2"/>
    <w:rsid w:val="00CA325E"/>
    <w:rsid w:val="00CB465F"/>
    <w:rsid w:val="00CC3B51"/>
    <w:rsid w:val="00CD7A05"/>
    <w:rsid w:val="00CF33F6"/>
    <w:rsid w:val="00CF6D51"/>
    <w:rsid w:val="00D01539"/>
    <w:rsid w:val="00D0274D"/>
    <w:rsid w:val="00D032EE"/>
    <w:rsid w:val="00D056BD"/>
    <w:rsid w:val="00D205FB"/>
    <w:rsid w:val="00D27F6F"/>
    <w:rsid w:val="00D32E1E"/>
    <w:rsid w:val="00D5592F"/>
    <w:rsid w:val="00D64B13"/>
    <w:rsid w:val="00D744BB"/>
    <w:rsid w:val="00D820CE"/>
    <w:rsid w:val="00D87453"/>
    <w:rsid w:val="00D97065"/>
    <w:rsid w:val="00DC40C6"/>
    <w:rsid w:val="00DC7FED"/>
    <w:rsid w:val="00DD4EB9"/>
    <w:rsid w:val="00DD7175"/>
    <w:rsid w:val="00DE271F"/>
    <w:rsid w:val="00DE3A3A"/>
    <w:rsid w:val="00E01006"/>
    <w:rsid w:val="00E13225"/>
    <w:rsid w:val="00E15C6A"/>
    <w:rsid w:val="00E22C7C"/>
    <w:rsid w:val="00E25258"/>
    <w:rsid w:val="00E265B3"/>
    <w:rsid w:val="00E374DB"/>
    <w:rsid w:val="00E579BA"/>
    <w:rsid w:val="00E62E3E"/>
    <w:rsid w:val="00E657D3"/>
    <w:rsid w:val="00E87706"/>
    <w:rsid w:val="00E90DBE"/>
    <w:rsid w:val="00E97DA6"/>
    <w:rsid w:val="00EA2D3D"/>
    <w:rsid w:val="00EC15FE"/>
    <w:rsid w:val="00EC5C47"/>
    <w:rsid w:val="00EC5C6A"/>
    <w:rsid w:val="00ED294E"/>
    <w:rsid w:val="00ED61A8"/>
    <w:rsid w:val="00EE1530"/>
    <w:rsid w:val="00EE3599"/>
    <w:rsid w:val="00EE7210"/>
    <w:rsid w:val="00EF7A23"/>
    <w:rsid w:val="00F02D92"/>
    <w:rsid w:val="00F26E3D"/>
    <w:rsid w:val="00F30115"/>
    <w:rsid w:val="00F3336F"/>
    <w:rsid w:val="00F33720"/>
    <w:rsid w:val="00F40483"/>
    <w:rsid w:val="00F41936"/>
    <w:rsid w:val="00F4373A"/>
    <w:rsid w:val="00F43A70"/>
    <w:rsid w:val="00F46AF4"/>
    <w:rsid w:val="00F56CA8"/>
    <w:rsid w:val="00F61E3C"/>
    <w:rsid w:val="00F640A3"/>
    <w:rsid w:val="00F75108"/>
    <w:rsid w:val="00F81FB3"/>
    <w:rsid w:val="00F8386D"/>
    <w:rsid w:val="00F87763"/>
    <w:rsid w:val="00F9117B"/>
    <w:rsid w:val="00F960EF"/>
    <w:rsid w:val="00FA3AF4"/>
    <w:rsid w:val="00FB4C80"/>
    <w:rsid w:val="00FB625D"/>
    <w:rsid w:val="00FC2D69"/>
    <w:rsid w:val="00FC388A"/>
    <w:rsid w:val="00FD323C"/>
    <w:rsid w:val="00FD73DB"/>
    <w:rsid w:val="00FE4D69"/>
    <w:rsid w:val="00FF2EFA"/>
    <w:rsid w:val="00FF4BD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757FAF"/>
  <w15:docId w15:val="{317355FA-6417-4751-B2C7-F4B5B0D3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val="es-MX"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es-MX" w:eastAsia="es-MX"/>
    </w:rPr>
  </w:style>
  <w:style w:type="paragraph" w:customStyle="1" w:styleId="horario">
    <w:name w:val="horario"/>
    <w:basedOn w:val="Normal"/>
    <w:rsid w:val="00295914"/>
    <w:pPr>
      <w:spacing w:before="100" w:beforeAutospacing="1" w:after="100" w:afterAutospacing="1" w:line="240" w:lineRule="auto"/>
    </w:pPr>
    <w:rPr>
      <w:rFonts w:ascii="Times New Roman" w:eastAsiaTheme="minorHAnsi" w:hAnsi="Times New Roman"/>
      <w:sz w:val="24"/>
      <w:szCs w:val="24"/>
      <w:lang w:val="en-US"/>
    </w:rPr>
  </w:style>
  <w:style w:type="character" w:styleId="Emphasis">
    <w:name w:val="Emphasis"/>
    <w:basedOn w:val="DefaultParagraphFont"/>
    <w:uiPriority w:val="20"/>
    <w:qFormat/>
    <w:rsid w:val="000E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58659499">
      <w:bodyDiv w:val="1"/>
      <w:marLeft w:val="0"/>
      <w:marRight w:val="0"/>
      <w:marTop w:val="0"/>
      <w:marBottom w:val="0"/>
      <w:divBdr>
        <w:top w:val="none" w:sz="0" w:space="0" w:color="auto"/>
        <w:left w:val="none" w:sz="0" w:space="0" w:color="auto"/>
        <w:bottom w:val="none" w:sz="0" w:space="0" w:color="auto"/>
        <w:right w:val="none" w:sz="0" w:space="0" w:color="auto"/>
      </w:divBdr>
    </w:div>
    <w:div w:id="1369839472">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9BC5F-7294-443F-BBD7-761C1783B696}">
  <ds:schemaRefs>
    <ds:schemaRef ds:uri="http://schemas.microsoft.com/sharepoint/v3/contenttype/forms"/>
  </ds:schemaRefs>
</ds:datastoreItem>
</file>

<file path=customXml/itemProps2.xml><?xml version="1.0" encoding="utf-8"?>
<ds:datastoreItem xmlns:ds="http://schemas.openxmlformats.org/officeDocument/2006/customXml" ds:itemID="{85A76E65-E618-4215-A782-C247498B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CDE7-648C-4826-931D-032C55438883}">
  <ds:schemaRefs>
    <ds:schemaRef ds:uri="http://schemas.openxmlformats.org/officeDocument/2006/bibliography"/>
  </ds:schemaRefs>
</ds:datastoreItem>
</file>

<file path=customXml/itemProps4.xml><?xml version="1.0" encoding="utf-8"?>
<ds:datastoreItem xmlns:ds="http://schemas.openxmlformats.org/officeDocument/2006/customXml" ds:itemID="{A5E1C21C-61F5-4164-8693-00938F9415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Lobaton, Ursula</cp:lastModifiedBy>
  <cp:revision>17</cp:revision>
  <cp:lastPrinted>2013-08-05T22:05:00Z</cp:lastPrinted>
  <dcterms:created xsi:type="dcterms:W3CDTF">2022-03-26T19:39:00Z</dcterms:created>
  <dcterms:modified xsi:type="dcterms:W3CDTF">2022-03-31T19:02:00Z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